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B6C8784" wp14:editId="1D97AE85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</w:t>
      </w:r>
    </w:p>
    <w:p w:rsidR="009C24A9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Pr="00E51AD6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P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2A475E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D10B6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7C20E2" w:rsidRPr="009C24A9" w:rsidRDefault="007C20E2" w:rsidP="007C20E2">
      <w:pPr>
        <w:jc w:val="center"/>
        <w:rPr>
          <w:b/>
          <w:sz w:val="28"/>
          <w:szCs w:val="28"/>
        </w:rPr>
      </w:pPr>
    </w:p>
    <w:p w:rsidR="006A29BC" w:rsidRPr="001D0191" w:rsidRDefault="006A29BC" w:rsidP="00D73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 w:rsidR="009C24A9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9C24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BA04E0">
        <w:rPr>
          <w:rFonts w:ascii="Times New Roman" w:hAnsi="Times New Roman" w:cs="Times New Roman"/>
          <w:sz w:val="28"/>
          <w:szCs w:val="28"/>
        </w:rPr>
        <w:t xml:space="preserve"> на 2024</w:t>
      </w:r>
      <w:r w:rsidR="002928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5DC9" w:rsidRDefault="00955DC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P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B65" w:rsidRPr="001D0191" w:rsidRDefault="00F70B65" w:rsidP="008E2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019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1D0191">
        <w:rPr>
          <w:sz w:val="28"/>
          <w:szCs w:val="28"/>
        </w:rPr>
        <w:t>статьей 44 Федерального закон</w:t>
      </w:r>
      <w:r w:rsidR="001E2F40" w:rsidRPr="001D0191">
        <w:rPr>
          <w:sz w:val="28"/>
          <w:szCs w:val="28"/>
        </w:rPr>
        <w:t xml:space="preserve">а от 31.07.2020 № </w:t>
      </w:r>
      <w:r w:rsidR="008E2110" w:rsidRPr="001D0191">
        <w:rPr>
          <w:sz w:val="28"/>
          <w:szCs w:val="28"/>
        </w:rPr>
        <w:t>248-ФЗ</w:t>
      </w:r>
      <w:r w:rsidR="001E2F40" w:rsidRPr="001D0191">
        <w:rPr>
          <w:sz w:val="28"/>
          <w:szCs w:val="28"/>
        </w:rPr>
        <w:t xml:space="preserve"> «</w:t>
      </w:r>
      <w:r w:rsidR="008E2110" w:rsidRPr="001D0191">
        <w:rPr>
          <w:sz w:val="28"/>
          <w:szCs w:val="28"/>
        </w:rPr>
        <w:t xml:space="preserve">О государственном контроле (надзоре) и муниципальном </w:t>
      </w:r>
      <w:r w:rsidR="001E2F40" w:rsidRPr="001D0191">
        <w:rPr>
          <w:sz w:val="28"/>
          <w:szCs w:val="28"/>
        </w:rPr>
        <w:t>контроле в Российской Федерации»</w:t>
      </w:r>
      <w:r w:rsidRPr="001D0191">
        <w:rPr>
          <w:sz w:val="28"/>
          <w:szCs w:val="28"/>
        </w:rPr>
        <w:t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Pr="001D0191">
        <w:rPr>
          <w:sz w:val="28"/>
          <w:szCs w:val="28"/>
        </w:rPr>
        <w:t xml:space="preserve"> </w:t>
      </w:r>
      <w:proofErr w:type="gramStart"/>
      <w:r w:rsidRPr="001D0191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актами», </w:t>
      </w:r>
      <w:r w:rsidR="002A475E" w:rsidRPr="001D0191">
        <w:rPr>
          <w:sz w:val="28"/>
          <w:szCs w:val="28"/>
        </w:rPr>
        <w:t>Постановлением Правител</w:t>
      </w:r>
      <w:r w:rsidR="002A475E">
        <w:rPr>
          <w:sz w:val="28"/>
          <w:szCs w:val="28"/>
        </w:rPr>
        <w:t>ьства Российской Федерации от 25.06.2021</w:t>
      </w:r>
      <w:r w:rsidR="002A475E" w:rsidRPr="001D0191">
        <w:rPr>
          <w:sz w:val="28"/>
          <w:szCs w:val="28"/>
        </w:rPr>
        <w:t xml:space="preserve"> № </w:t>
      </w:r>
      <w:r w:rsidR="002A475E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</w:t>
      </w:r>
      <w:r w:rsidR="002A475E" w:rsidRPr="001D0191">
        <w:rPr>
          <w:sz w:val="28"/>
          <w:szCs w:val="28"/>
        </w:rPr>
        <w:t xml:space="preserve"> </w:t>
      </w:r>
      <w:r w:rsidR="001D0191" w:rsidRPr="001D0191">
        <w:rPr>
          <w:sz w:val="28"/>
          <w:szCs w:val="28"/>
        </w:rPr>
        <w:t xml:space="preserve">Уставом </w:t>
      </w:r>
      <w:proofErr w:type="spellStart"/>
      <w:r w:rsidR="00E80055">
        <w:rPr>
          <w:sz w:val="28"/>
          <w:szCs w:val="28"/>
        </w:rPr>
        <w:t>Тейковского</w:t>
      </w:r>
      <w:proofErr w:type="spellEnd"/>
      <w:r w:rsidR="00E80055">
        <w:rPr>
          <w:sz w:val="28"/>
          <w:szCs w:val="28"/>
        </w:rPr>
        <w:t xml:space="preserve"> муниципального района</w:t>
      </w:r>
      <w:r w:rsidR="001D0191" w:rsidRPr="001D0191">
        <w:rPr>
          <w:sz w:val="28"/>
          <w:szCs w:val="28"/>
        </w:rPr>
        <w:t xml:space="preserve"> Ивановской области, в целях предупреждения рисков причинения вреда (ущерба) охраняемым законом ценностям</w:t>
      </w:r>
      <w:r w:rsidR="00FF0466">
        <w:rPr>
          <w:sz w:val="28"/>
          <w:szCs w:val="28"/>
        </w:rPr>
        <w:t>,</w:t>
      </w:r>
      <w:r w:rsidR="001D0191" w:rsidRPr="001D0191">
        <w:rPr>
          <w:sz w:val="28"/>
          <w:szCs w:val="28"/>
        </w:rPr>
        <w:t xml:space="preserve"> администрация </w:t>
      </w:r>
      <w:proofErr w:type="spellStart"/>
      <w:r w:rsidR="00E80055">
        <w:rPr>
          <w:sz w:val="28"/>
          <w:szCs w:val="28"/>
        </w:rPr>
        <w:t>Тейковского</w:t>
      </w:r>
      <w:proofErr w:type="spellEnd"/>
      <w:r w:rsidR="00E80055">
        <w:rPr>
          <w:sz w:val="28"/>
          <w:szCs w:val="28"/>
        </w:rPr>
        <w:t xml:space="preserve"> муниципального района</w:t>
      </w:r>
      <w:r w:rsidR="001D0191" w:rsidRPr="001D0191">
        <w:rPr>
          <w:sz w:val="28"/>
          <w:szCs w:val="28"/>
        </w:rPr>
        <w:t xml:space="preserve"> </w:t>
      </w:r>
      <w:proofErr w:type="gramEnd"/>
    </w:p>
    <w:p w:rsidR="00F70B65" w:rsidRPr="009C24A9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4A9" w:rsidRDefault="009C24A9" w:rsidP="009C24A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Т:</w:t>
      </w:r>
    </w:p>
    <w:p w:rsidR="00A04B79" w:rsidRDefault="00A04B79" w:rsidP="009C24A9">
      <w:pPr>
        <w:jc w:val="center"/>
        <w:rPr>
          <w:b/>
          <w:color w:val="000000"/>
          <w:sz w:val="28"/>
          <w:szCs w:val="28"/>
        </w:rPr>
      </w:pPr>
    </w:p>
    <w:p w:rsidR="00F70B65" w:rsidRPr="009C24A9" w:rsidRDefault="00F70B65" w:rsidP="00F70B6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F70B65" w:rsidRDefault="00F70B65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D0191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</w:t>
      </w:r>
      <w:r w:rsidR="009D32E4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</w:t>
      </w:r>
      <w:proofErr w:type="spellStart"/>
      <w:r w:rsidR="00E80055">
        <w:rPr>
          <w:rFonts w:ascii="Times New Roman" w:hAnsi="Times New Roman" w:cs="Times New Roman"/>
          <w:b w:val="0"/>
          <w:sz w:val="28"/>
          <w:szCs w:val="28"/>
        </w:rPr>
        <w:t>Тейковского</w:t>
      </w:r>
      <w:proofErr w:type="spellEnd"/>
      <w:r w:rsidR="00E800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55DC9" w:rsidRPr="001D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A04B7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04B79" w:rsidRPr="001D0191" w:rsidRDefault="00A04B79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5B9" w:rsidRDefault="00F70B65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 w:rsidRPr="001D0191">
        <w:rPr>
          <w:szCs w:val="28"/>
        </w:rPr>
        <w:t xml:space="preserve">2. </w:t>
      </w:r>
      <w:r w:rsidR="00A105B9">
        <w:rPr>
          <w:bCs/>
          <w:szCs w:val="28"/>
        </w:rPr>
        <w:t xml:space="preserve">Ответственным исполнителем назначить </w:t>
      </w:r>
      <w:r w:rsidR="009D32E4">
        <w:rPr>
          <w:bCs/>
          <w:szCs w:val="28"/>
        </w:rPr>
        <w:t>управление координации жилищно-коммунального, дорожного хозяйства и градостроительства</w:t>
      </w:r>
      <w:r w:rsidR="00A105B9">
        <w:rPr>
          <w:bCs/>
          <w:szCs w:val="28"/>
        </w:rPr>
        <w:t xml:space="preserve"> администрации </w:t>
      </w:r>
      <w:proofErr w:type="spellStart"/>
      <w:r w:rsidR="00A105B9">
        <w:rPr>
          <w:bCs/>
          <w:szCs w:val="28"/>
        </w:rPr>
        <w:t>Тейковского</w:t>
      </w:r>
      <w:proofErr w:type="spellEnd"/>
      <w:r w:rsidR="00A105B9">
        <w:rPr>
          <w:bCs/>
          <w:szCs w:val="28"/>
        </w:rPr>
        <w:t xml:space="preserve"> муниципального района (</w:t>
      </w:r>
      <w:r w:rsidR="009D32E4">
        <w:rPr>
          <w:bCs/>
          <w:szCs w:val="28"/>
        </w:rPr>
        <w:t>Б.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Г.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Полозов</w:t>
      </w:r>
      <w:r w:rsidR="00A105B9">
        <w:rPr>
          <w:bCs/>
          <w:szCs w:val="28"/>
        </w:rPr>
        <w:t>).</w:t>
      </w:r>
    </w:p>
    <w:p w:rsidR="00BB0A5E" w:rsidRDefault="00BB0A5E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:rsidR="00BB0A5E" w:rsidRDefault="00BB0A5E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:rsidR="00BB0A5E" w:rsidRDefault="00BB0A5E" w:rsidP="00BB0A5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со дня его опубликования и распространяет свое действие на правоотно</w:t>
      </w:r>
      <w:r w:rsidR="00BA04E0">
        <w:rPr>
          <w:bCs/>
          <w:szCs w:val="28"/>
        </w:rPr>
        <w:t>шения, возникшие с 1 января 2024</w:t>
      </w:r>
      <w:r>
        <w:rPr>
          <w:bCs/>
          <w:szCs w:val="28"/>
        </w:rPr>
        <w:t xml:space="preserve"> года.</w:t>
      </w:r>
    </w:p>
    <w:p w:rsidR="00BB0A5E" w:rsidRDefault="00BB0A5E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:rsidR="00D23BEC" w:rsidRDefault="00D23BEC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Default="002A475E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105B9">
        <w:rPr>
          <w:b/>
          <w:sz w:val="28"/>
          <w:szCs w:val="28"/>
        </w:rPr>
        <w:t xml:space="preserve"> </w:t>
      </w:r>
      <w:proofErr w:type="spellStart"/>
      <w:r w:rsidR="00A105B9">
        <w:rPr>
          <w:b/>
          <w:sz w:val="28"/>
          <w:szCs w:val="28"/>
        </w:rPr>
        <w:t>Тейковского</w:t>
      </w:r>
      <w:proofErr w:type="spellEnd"/>
    </w:p>
    <w:p w:rsidR="00A105B9" w:rsidRPr="001D0191" w:rsidRDefault="00A105B9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2A475E">
        <w:rPr>
          <w:b/>
          <w:sz w:val="28"/>
          <w:szCs w:val="28"/>
        </w:rPr>
        <w:t>В. А. Катков</w:t>
      </w: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A92158" w:rsidRDefault="005C2A00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</w:t>
      </w:r>
      <w:r w:rsidR="00F715E8">
        <w:t xml:space="preserve">                             </w:t>
      </w:r>
    </w:p>
    <w:p w:rsidR="008653F5" w:rsidRDefault="00F715E8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A92158">
        <w:t xml:space="preserve">                         </w:t>
      </w:r>
    </w:p>
    <w:p w:rsidR="00844F83" w:rsidRDefault="00844F83" w:rsidP="002A475E">
      <w:pPr>
        <w:tabs>
          <w:tab w:val="left" w:pos="7755"/>
          <w:tab w:val="right" w:pos="9638"/>
        </w:tabs>
        <w:autoSpaceDE w:val="0"/>
        <w:autoSpaceDN w:val="0"/>
        <w:adjustRightInd w:val="0"/>
        <w:ind w:left="5103"/>
        <w:jc w:val="right"/>
        <w:outlineLvl w:val="0"/>
      </w:pPr>
      <w:r>
        <w:t>Приложение</w:t>
      </w:r>
      <w:r w:rsidR="005C2A00">
        <w:t xml:space="preserve"> </w:t>
      </w:r>
      <w:r>
        <w:t>к постановлению администрации</w:t>
      </w:r>
    </w:p>
    <w:p w:rsidR="00844F83" w:rsidRDefault="00A105B9" w:rsidP="002A475E">
      <w:pPr>
        <w:autoSpaceDE w:val="0"/>
        <w:autoSpaceDN w:val="0"/>
        <w:adjustRightInd w:val="0"/>
        <w:ind w:left="5103"/>
        <w:jc w:val="right"/>
        <w:outlineLvl w:val="0"/>
      </w:pPr>
      <w:proofErr w:type="spellStart"/>
      <w:r>
        <w:t>Тейковского</w:t>
      </w:r>
      <w:proofErr w:type="spellEnd"/>
      <w:r>
        <w:t xml:space="preserve"> муниципального района </w:t>
      </w:r>
    </w:p>
    <w:p w:rsidR="00A105B9" w:rsidRDefault="002A475E" w:rsidP="002A475E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                            </w:t>
      </w:r>
      <w:r w:rsidR="00D10B64">
        <w:t xml:space="preserve">от </w:t>
      </w:r>
      <w:r>
        <w:t xml:space="preserve">                   </w:t>
      </w:r>
      <w:r w:rsidR="00A105B9">
        <w:t>№</w:t>
      </w:r>
      <w:r w:rsidR="00D10B64">
        <w:t xml:space="preserve"> </w:t>
      </w:r>
      <w:r>
        <w:t xml:space="preserve">         </w:t>
      </w:r>
      <w:r w:rsidR="00A105B9">
        <w:t xml:space="preserve">    </w:t>
      </w:r>
    </w:p>
    <w:p w:rsidR="00844F83" w:rsidRDefault="00C51B75" w:rsidP="002A475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</w:t>
      </w:r>
      <w:r w:rsidR="00A105B9">
        <w:t xml:space="preserve">  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b/>
          <w:bCs/>
          <w:sz w:val="28"/>
          <w:szCs w:val="28"/>
        </w:rPr>
        <w:t>жилищного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контроля</w:t>
      </w:r>
      <w:r w:rsidRPr="000C7E6C">
        <w:t xml:space="preserve">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D43313">
        <w:rPr>
          <w:rFonts w:eastAsia="Calibri"/>
          <w:b/>
          <w:sz w:val="28"/>
          <w:szCs w:val="28"/>
          <w:lang w:eastAsia="en-US"/>
        </w:rPr>
        <w:t>Тейковского</w:t>
      </w:r>
      <w:proofErr w:type="spellEnd"/>
      <w:r w:rsidR="00D43313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Ивановской области</w:t>
      </w:r>
    </w:p>
    <w:p w:rsidR="00D73C22" w:rsidRDefault="00D73C22" w:rsidP="00D73C2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3C22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 w:rsidRPr="000C7E6C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proofErr w:type="spellStart"/>
      <w:r w:rsidR="00D43313">
        <w:rPr>
          <w:rFonts w:eastAsia="Calibri"/>
          <w:sz w:val="28"/>
          <w:szCs w:val="28"/>
          <w:lang w:eastAsia="en-US"/>
        </w:rPr>
        <w:t>Тейковского</w:t>
      </w:r>
      <w:proofErr w:type="spellEnd"/>
      <w:r w:rsidR="00D4331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 (далее – муниципальный контроль).</w:t>
      </w:r>
    </w:p>
    <w:p w:rsidR="00D73C22" w:rsidRPr="00AC5933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C22" w:rsidRDefault="00D73C22" w:rsidP="003626F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D43313">
        <w:rPr>
          <w:rFonts w:eastAsia="Calibri"/>
          <w:b/>
          <w:sz w:val="28"/>
          <w:szCs w:val="28"/>
          <w:lang w:eastAsia="en-US"/>
        </w:rPr>
        <w:t>Тейковского</w:t>
      </w:r>
      <w:proofErr w:type="spellEnd"/>
      <w:r w:rsidR="00D43313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73C22" w:rsidRDefault="00D73C22" w:rsidP="00B1130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1130D" w:rsidRPr="00965148" w:rsidRDefault="00B1130D" w:rsidP="00B1130D">
      <w:pPr>
        <w:pStyle w:val="a8"/>
        <w:tabs>
          <w:tab w:val="left" w:pos="1134"/>
        </w:tabs>
        <w:ind w:left="0"/>
        <w:jc w:val="both"/>
      </w:pPr>
      <w:r>
        <w:rPr>
          <w:szCs w:val="28"/>
        </w:rPr>
        <w:t xml:space="preserve">      </w:t>
      </w:r>
      <w:r w:rsidRPr="00965148">
        <w:rPr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</w:t>
      </w:r>
      <w:r w:rsidRPr="00965148">
        <w:rPr>
          <w:bCs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1130D" w:rsidRPr="00965148" w:rsidRDefault="00B1130D" w:rsidP="00557906">
      <w:pPr>
        <w:ind w:firstLine="709"/>
        <w:jc w:val="both"/>
      </w:pPr>
      <w:r w:rsidRPr="00965148">
        <w:rPr>
          <w:bCs/>
          <w:sz w:val="28"/>
          <w:szCs w:val="28"/>
        </w:rPr>
        <w:t xml:space="preserve">1) требований </w:t>
      </w:r>
      <w:proofErr w:type="gramStart"/>
      <w:r w:rsidRPr="00965148">
        <w:rPr>
          <w:bCs/>
          <w:sz w:val="28"/>
          <w:szCs w:val="28"/>
        </w:rPr>
        <w:t>к</w:t>
      </w:r>
      <w:proofErr w:type="gramEnd"/>
      <w:r w:rsidRPr="00965148">
        <w:rPr>
          <w:bCs/>
          <w:sz w:val="28"/>
          <w:szCs w:val="28"/>
        </w:rPr>
        <w:t>:</w:t>
      </w:r>
    </w:p>
    <w:p w:rsidR="00F801EA" w:rsidRDefault="00B1130D" w:rsidP="00B1130D">
      <w:pPr>
        <w:ind w:hanging="11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использованию и сохранности жилищного фонда;</w:t>
      </w:r>
      <w:r>
        <w:rPr>
          <w:bCs/>
          <w:sz w:val="28"/>
          <w:szCs w:val="28"/>
        </w:rPr>
        <w:t xml:space="preserve"> 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жилым помещениям, их использованию и содержанию;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формированию фондов капитального ремонта;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 xml:space="preserve">порядку размещения </w:t>
      </w:r>
      <w:proofErr w:type="spellStart"/>
      <w:r w:rsidRPr="00965148">
        <w:rPr>
          <w:bCs/>
          <w:sz w:val="28"/>
          <w:szCs w:val="28"/>
        </w:rPr>
        <w:t>ресурсоснабжающими</w:t>
      </w:r>
      <w:proofErr w:type="spellEnd"/>
      <w:r w:rsidRPr="00965148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65148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65148">
        <w:rPr>
          <w:bCs/>
          <w:sz w:val="28"/>
          <w:szCs w:val="28"/>
        </w:rPr>
        <w:t>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B1130D" w:rsidRDefault="00B1130D" w:rsidP="00221FB5">
      <w:pPr>
        <w:ind w:firstLine="709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B1130D" w:rsidRPr="00965148" w:rsidRDefault="00F801EA" w:rsidP="00221FB5">
      <w:pPr>
        <w:ind w:firstLine="709"/>
        <w:jc w:val="both"/>
      </w:pPr>
      <w:r>
        <w:rPr>
          <w:bCs/>
          <w:sz w:val="28"/>
          <w:szCs w:val="28"/>
        </w:rPr>
        <w:t xml:space="preserve">2) </w:t>
      </w:r>
      <w:r w:rsidR="00B1130D" w:rsidRPr="00965148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3)  правил: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содержания общего имущества в многоквартирном доме;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1130D" w:rsidRPr="00965148" w:rsidRDefault="00B1130D" w:rsidP="00221FB5">
      <w:pPr>
        <w:pStyle w:val="HTML"/>
        <w:ind w:firstLine="709"/>
        <w:jc w:val="both"/>
        <w:rPr>
          <w:rFonts w:ascii="Times New Roman" w:hAnsi="Times New Roman" w:cs="Times New Roman"/>
          <w:lang w:val="ru-RU"/>
        </w:rPr>
      </w:pPr>
      <w:r w:rsidRPr="00965148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D32E4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Муниципальный </w:t>
      </w:r>
      <w:r w:rsidR="009D32E4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жилищный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контроль осуществляется Администрацией </w:t>
      </w:r>
      <w:proofErr w:type="spellStart"/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Тейковского</w:t>
      </w:r>
      <w:proofErr w:type="spellEnd"/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муниципального </w:t>
      </w:r>
      <w:r w:rsidR="0045306E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района (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далее - Администрация) в лице Уполномоченного органа – </w:t>
      </w:r>
      <w:r w:rsidR="009D32E4" w:rsidRPr="00D52CC4">
        <w:rPr>
          <w:rFonts w:ascii="Times New Roman" w:hAnsi="Times New Roman" w:cs="Times New Roman"/>
          <w:bCs/>
          <w:sz w:val="28"/>
          <w:szCs w:val="28"/>
        </w:rPr>
        <w:t xml:space="preserve">управления координации жилищно-коммунального, дорожного хозяйства и градостроительства администрации </w:t>
      </w:r>
      <w:proofErr w:type="spellStart"/>
      <w:r w:rsidR="009D32E4" w:rsidRPr="00D52CC4">
        <w:rPr>
          <w:rFonts w:ascii="Times New Roman" w:hAnsi="Times New Roman" w:cs="Times New Roman"/>
          <w:bCs/>
          <w:sz w:val="28"/>
          <w:szCs w:val="28"/>
        </w:rPr>
        <w:t>Тейковского</w:t>
      </w:r>
      <w:proofErr w:type="spellEnd"/>
      <w:r w:rsidR="009D32E4" w:rsidRPr="00D52CC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1F2ADF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Контролируемыми лицами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при осуществлении муниципального</w:t>
      </w:r>
      <w:r w:rsidR="009B723B"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жилищного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контроля являются юридические лица, индивидуальные предприниматели и физические лица (далее — субъекты контроля).</w:t>
      </w:r>
    </w:p>
    <w:p w:rsidR="00DC525C" w:rsidRDefault="00DC525C" w:rsidP="00221FB5">
      <w:pPr>
        <w:ind w:firstLine="709"/>
        <w:jc w:val="both"/>
        <w:rPr>
          <w:sz w:val="28"/>
          <w:szCs w:val="28"/>
        </w:rPr>
      </w:pPr>
      <w:r w:rsidRPr="00D52CC4">
        <w:rPr>
          <w:sz w:val="28"/>
          <w:szCs w:val="28"/>
        </w:rPr>
        <w:t xml:space="preserve"> Объектами муниципального контроля (далее – объект контроля) являются:</w:t>
      </w:r>
    </w:p>
    <w:p w:rsidR="005129A3" w:rsidRDefault="005129A3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bookmarkEnd w:id="1"/>
    </w:p>
    <w:p w:rsidR="005129A3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требования;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965148">
        <w:rPr>
          <w:rFonts w:ascii="Times New Roman" w:hAnsi="Times New Roman" w:cs="Times New Roman"/>
          <w:color w:val="000000"/>
        </w:rPr>
        <w:t xml:space="preserve"> 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требования.</w:t>
      </w:r>
      <w:r w:rsidRPr="00965148">
        <w:rPr>
          <w:rFonts w:ascii="Times New Roman" w:hAnsi="Times New Roman" w:cs="Times New Roman"/>
        </w:rPr>
        <w:t xml:space="preserve"> </w:t>
      </w:r>
    </w:p>
    <w:p w:rsidR="00DC525C" w:rsidRPr="00DC525C" w:rsidRDefault="005129A3" w:rsidP="00221F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25C" w:rsidRPr="00DC525C">
        <w:rPr>
          <w:sz w:val="28"/>
          <w:szCs w:val="28"/>
        </w:rPr>
        <w:t xml:space="preserve"> Учет объектов контроля осуществляется посредством создания:</w:t>
      </w:r>
    </w:p>
    <w:p w:rsidR="00DC525C" w:rsidRPr="00965148" w:rsidRDefault="00DC525C" w:rsidP="00221FB5">
      <w:pPr>
        <w:ind w:firstLine="709"/>
        <w:jc w:val="both"/>
      </w:pPr>
      <w:r w:rsidRPr="00965148">
        <w:rPr>
          <w:sz w:val="28"/>
        </w:rPr>
        <w:lastRenderedPageBreak/>
        <w:t xml:space="preserve">единого реестра контрольных мероприятий;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>Органом муниципального жилищного контроля в соответствии с частью 2 статьи 16 и частью 5 статьи 1</w:t>
      </w:r>
      <w:r w:rsidR="009B723B">
        <w:rPr>
          <w:rFonts w:ascii="Times New Roman" w:hAnsi="Times New Roman" w:cs="Times New Roman"/>
          <w:sz w:val="28"/>
        </w:rPr>
        <w:t xml:space="preserve">7 Федерального закона от 31.07. 2020 </w:t>
      </w:r>
      <w:r w:rsidRPr="00965148">
        <w:rPr>
          <w:rFonts w:ascii="Times New Roman" w:hAnsi="Times New Roman" w:cs="Times New Roman"/>
          <w:sz w:val="28"/>
        </w:rPr>
        <w:t xml:space="preserve"> № 248 «О государственном контроле (надзоре) и муниципальном контроле в Российской Федерации» (далее – Закон о контроле) ведется учет объектов контроля с использованием информационной системы.</w:t>
      </w:r>
    </w:p>
    <w:p w:rsidR="001F2ADF" w:rsidRPr="001F2ADF" w:rsidRDefault="00BA04E0" w:rsidP="00221FB5">
      <w:pPr>
        <w:pStyle w:val="Standard"/>
        <w:spacing w:after="0" w:line="240" w:lineRule="auto"/>
        <w:ind w:firstLine="709"/>
        <w:jc w:val="both"/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  2023</w:t>
      </w:r>
      <w:r w:rsid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году</w:t>
      </w:r>
      <w:r w:rsidR="005E5C2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в отношении юридических лиц и индивидуальных предпринимателей плановые и внеплановые проверки соблюдения </w:t>
      </w:r>
      <w:r w:rsidR="005E5C2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жилищного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законодательства не проводились.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жилищного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</w:t>
      </w:r>
      <w:r w:rsidR="00BA04E0">
        <w:rPr>
          <w:rStyle w:val="ae"/>
          <w:rFonts w:ascii="Times New Roman" w:hAnsi="Times New Roman"/>
          <w:i w:val="0"/>
          <w:iCs w:val="0"/>
          <w:sz w:val="28"/>
          <w:szCs w:val="28"/>
        </w:rPr>
        <w:t>, в 2023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году осуществлялись мероприятия по профилактике таких нарушений в соответствии с программой профилактики нарушений обязательных требований, установленных муниципальными правовыми актами.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проводилась разъяснительная </w:t>
      </w:r>
      <w:proofErr w:type="gramStart"/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работа</w:t>
      </w:r>
      <w:proofErr w:type="gramEnd"/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и давались консультации в ходе личных приемов, обследований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жилых помещений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, а также посредством телефонной связи и письменных ответов на обращения.</w:t>
      </w:r>
    </w:p>
    <w:p w:rsidR="00127CBF" w:rsidRDefault="00D73C22" w:rsidP="00221FB5">
      <w:pPr>
        <w:pStyle w:val="a9"/>
        <w:ind w:firstLine="709"/>
        <w:jc w:val="both"/>
      </w:pPr>
      <w:proofErr w:type="gramStart"/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</w:t>
      </w:r>
      <w:r w:rsidRPr="00127C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2" w:name="_GoBack"/>
      <w:r w:rsidRPr="00127CBF">
        <w:rPr>
          <w:rFonts w:ascii="Times New Roman" w:hAnsi="Times New Roman" w:cs="Times New Roman"/>
          <w:sz w:val="28"/>
          <w:szCs w:val="28"/>
        </w:rPr>
        <w:t>Постановления Правительства РФ от 03.04.2020 № 438 «Об о</w:t>
      </w:r>
      <w:r w:rsidR="002F0A2D">
        <w:rPr>
          <w:rFonts w:ascii="Times New Roman" w:hAnsi="Times New Roman" w:cs="Times New Roman"/>
          <w:sz w:val="28"/>
          <w:szCs w:val="28"/>
        </w:rPr>
        <w:t>собенностях осуществления в 2022</w:t>
      </w:r>
      <w:r w:rsidRPr="00127CBF">
        <w:rPr>
          <w:rFonts w:ascii="Times New Roman" w:hAnsi="Times New Roman" w:cs="Times New Roman"/>
          <w:sz w:val="28"/>
          <w:szCs w:val="28"/>
        </w:rPr>
        <w:t xml:space="preserve"> году государственного контроля (надзора), муниципального контроля </w:t>
      </w:r>
      <w:bookmarkEnd w:id="2"/>
      <w:r w:rsidRPr="00127CBF">
        <w:rPr>
          <w:rFonts w:ascii="Times New Roman" w:hAnsi="Times New Roman" w:cs="Times New Roman"/>
          <w:sz w:val="28"/>
          <w:szCs w:val="28"/>
        </w:rPr>
        <w:t xml:space="preserve"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>в части проведения</w:t>
      </w:r>
      <w:proofErr w:type="gramEnd"/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публичных мероприятий (семинаров, круглых столов, совещаний), личных консультаций.</w:t>
      </w:r>
      <w:r w:rsidRPr="000C7E6C">
        <w:rPr>
          <w:rStyle w:val="ae"/>
          <w:i w:val="0"/>
          <w:sz w:val="28"/>
          <w:szCs w:val="28"/>
        </w:rPr>
        <w:t xml:space="preserve"> </w:t>
      </w:r>
      <w:r w:rsidR="00127CBF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Данные мероприятия преимущественно проводились в виде видеоконференций, с использованием электронной, телефонной связи.</w:t>
      </w:r>
    </w:p>
    <w:p w:rsidR="001E717D" w:rsidRDefault="001E717D" w:rsidP="00221FB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результат реализации Программы профилактики — снижение количества выявленных нарушений требований </w:t>
      </w:r>
      <w:r w:rsidR="005E5C2F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и качества проводимых профилактических мероприятий.</w:t>
      </w:r>
    </w:p>
    <w:p w:rsidR="002F0A2D" w:rsidRDefault="002F0A2D" w:rsidP="00221FB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осуществлении контрольной</w:t>
      </w:r>
      <w:r w:rsidR="00BA04E0">
        <w:rPr>
          <w:rFonts w:ascii="Times New Roman" w:hAnsi="Times New Roman"/>
          <w:sz w:val="28"/>
          <w:szCs w:val="28"/>
        </w:rPr>
        <w:t xml:space="preserve"> (надзорной) деятельности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90">
        <w:rPr>
          <w:rFonts w:ascii="Times New Roman" w:hAnsi="Times New Roman"/>
          <w:sz w:val="28"/>
          <w:szCs w:val="28"/>
        </w:rPr>
        <w:t>году руководствовались</w:t>
      </w:r>
      <w:r w:rsidR="0000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  от 10.03.2022 №</w:t>
      </w:r>
      <w:r w:rsidR="0000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</w:t>
      </w:r>
      <w:r w:rsidR="00CB57C2">
        <w:rPr>
          <w:rFonts w:ascii="Times New Roman" w:hAnsi="Times New Roman"/>
          <w:sz w:val="28"/>
          <w:szCs w:val="28"/>
        </w:rPr>
        <w:t xml:space="preserve"> (ред. от 19.06.2023г.)</w:t>
      </w:r>
      <w:r>
        <w:rPr>
          <w:rFonts w:ascii="Times New Roman" w:hAnsi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</w:t>
      </w:r>
      <w:r w:rsidR="00CB57C2">
        <w:rPr>
          <w:rFonts w:ascii="Times New Roman" w:hAnsi="Times New Roman"/>
          <w:sz w:val="28"/>
          <w:szCs w:val="28"/>
        </w:rPr>
        <w:t>, муниципального контроля</w:t>
      </w:r>
      <w:r>
        <w:rPr>
          <w:rFonts w:ascii="Times New Roman" w:hAnsi="Times New Roman"/>
          <w:sz w:val="28"/>
          <w:szCs w:val="28"/>
        </w:rPr>
        <w:t>».</w:t>
      </w:r>
    </w:p>
    <w:p w:rsidR="00D73C22" w:rsidRPr="00DB500A" w:rsidRDefault="00D73C22" w:rsidP="00221F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Для устранения рисков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proofErr w:type="spellStart"/>
      <w:r w:rsidR="00613570">
        <w:rPr>
          <w:spacing w:val="1"/>
          <w:sz w:val="28"/>
          <w:szCs w:val="28"/>
        </w:rPr>
        <w:t>Тейковского</w:t>
      </w:r>
      <w:proofErr w:type="spellEnd"/>
      <w:r w:rsidR="00613570">
        <w:rPr>
          <w:spacing w:val="1"/>
          <w:sz w:val="28"/>
          <w:szCs w:val="28"/>
        </w:rPr>
        <w:t xml:space="preserve"> муниципального района </w:t>
      </w:r>
      <w:r w:rsidR="000C4DD2">
        <w:rPr>
          <w:spacing w:val="1"/>
          <w:sz w:val="28"/>
          <w:szCs w:val="28"/>
        </w:rPr>
        <w:t>Ивановской области в 2024</w:t>
      </w:r>
      <w:r w:rsidRPr="000C7E6C">
        <w:rPr>
          <w:spacing w:val="1"/>
          <w:sz w:val="28"/>
          <w:szCs w:val="28"/>
        </w:rPr>
        <w:t xml:space="preserve">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 использованием современных информационно-телекоммуникационных технологий; 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совершенствование системы оказания консультативной помощи подконтрольным субъектам по вопросу применения обязательных требований и практики </w:t>
      </w:r>
      <w:r w:rsidR="005E5C2F">
        <w:rPr>
          <w:rFonts w:ascii="Times New Roman" w:hAnsi="Times New Roman" w:cs="Times New Roman"/>
          <w:sz w:val="28"/>
          <w:szCs w:val="28"/>
        </w:rPr>
        <w:t>право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D73C22" w:rsidRDefault="00D73C22" w:rsidP="00D73C22">
      <w:pPr>
        <w:jc w:val="both"/>
        <w:rPr>
          <w:sz w:val="28"/>
          <w:szCs w:val="28"/>
        </w:rPr>
      </w:pPr>
    </w:p>
    <w:p w:rsidR="00D73C22" w:rsidRPr="005B5E69" w:rsidRDefault="00D73C22" w:rsidP="006A6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73C22" w:rsidRPr="0011444C" w:rsidRDefault="00D73C22" w:rsidP="00D73C2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E5C2F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B0280C" w:rsidRDefault="00D73C22" w:rsidP="00B0280C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3C22" w:rsidRPr="00620EF4" w:rsidRDefault="00B0280C" w:rsidP="00B028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13570">
        <w:rPr>
          <w:rFonts w:eastAsia="Calibri"/>
          <w:sz w:val="28"/>
          <w:szCs w:val="28"/>
        </w:rPr>
        <w:t xml:space="preserve">    </w:t>
      </w:r>
      <w:r w:rsidR="00D73C22" w:rsidRPr="00620EF4">
        <w:rPr>
          <w:rFonts w:eastAsia="Calibri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>;</w:t>
      </w:r>
    </w:p>
    <w:p w:rsidR="00D73C22" w:rsidRPr="00620EF4" w:rsidRDefault="0061357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D73C22" w:rsidRPr="004F7FB5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  </w:t>
      </w:r>
      <w:r w:rsidRPr="00620EF4">
        <w:rPr>
          <w:rFonts w:eastAsia="Calibri"/>
          <w:sz w:val="28"/>
          <w:szCs w:val="28"/>
        </w:rPr>
        <w:t>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   </w:t>
      </w:r>
      <w:r w:rsidRPr="00620EF4">
        <w:rPr>
          <w:rFonts w:eastAsia="Calibri"/>
          <w:sz w:val="28"/>
          <w:szCs w:val="28"/>
        </w:rPr>
        <w:t>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D73C22" w:rsidRPr="00620EF4" w:rsidRDefault="00382FF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</w:t>
      </w:r>
      <w:r w:rsidRPr="00620EF4">
        <w:rPr>
          <w:rFonts w:eastAsia="Calibri"/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653F5" w:rsidRPr="00620EF4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D73C22" w:rsidRPr="0081409C" w:rsidRDefault="00D73C22" w:rsidP="00D73C22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73C22" w:rsidRDefault="00D73C22" w:rsidP="00D73C22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ind w:firstLine="567"/>
        <w:jc w:val="center"/>
        <w:rPr>
          <w:b/>
          <w:bCs/>
          <w:sz w:val="28"/>
          <w:szCs w:val="28"/>
        </w:rPr>
      </w:pPr>
    </w:p>
    <w:p w:rsidR="00D73C22" w:rsidRPr="003C6F10" w:rsidRDefault="00D73C22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Положением о муниципальном </w:t>
      </w:r>
      <w:r w:rsidR="005E5C2F">
        <w:rPr>
          <w:sz w:val="28"/>
          <w:szCs w:val="28"/>
        </w:rPr>
        <w:t>жилищном</w:t>
      </w:r>
      <w:r w:rsidRPr="00AC06C8">
        <w:rPr>
          <w:sz w:val="28"/>
          <w:szCs w:val="28"/>
        </w:rPr>
        <w:t xml:space="preserve"> контроле на территории </w:t>
      </w:r>
      <w:proofErr w:type="spellStart"/>
      <w:r w:rsidR="00382FF0">
        <w:rPr>
          <w:sz w:val="28"/>
          <w:szCs w:val="28"/>
        </w:rPr>
        <w:t>Тейковского</w:t>
      </w:r>
      <w:proofErr w:type="spellEnd"/>
      <w:r w:rsidR="00382FF0">
        <w:rPr>
          <w:sz w:val="28"/>
          <w:szCs w:val="28"/>
        </w:rPr>
        <w:t xml:space="preserve"> муниципального района</w:t>
      </w:r>
      <w:r w:rsidRPr="00AC06C8">
        <w:rPr>
          <w:sz w:val="28"/>
          <w:szCs w:val="28"/>
        </w:rPr>
        <w:t xml:space="preserve"> 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D73C22" w:rsidRPr="00AC06C8" w:rsidRDefault="007C5539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:rsidR="00D73C22" w:rsidRPr="00E7270A" w:rsidRDefault="00D73C22" w:rsidP="00D73C22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11511" w:rsidRPr="00E7270A" w:rsidRDefault="00E11511" w:rsidP="00D73C22">
      <w:pPr>
        <w:ind w:firstLine="567"/>
        <w:jc w:val="both"/>
        <w:rPr>
          <w:i/>
          <w:sz w:val="28"/>
          <w:szCs w:val="28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73C22" w:rsidRDefault="00D73C22" w:rsidP="00D73C22">
      <w:pPr>
        <w:jc w:val="both"/>
        <w:rPr>
          <w:rFonts w:eastAsia="Calibri"/>
          <w:sz w:val="28"/>
          <w:szCs w:val="28"/>
          <w:lang w:eastAsia="en-US"/>
        </w:rPr>
      </w:pPr>
    </w:p>
    <w:p w:rsidR="00957074" w:rsidRPr="00957074" w:rsidRDefault="00D73C22" w:rsidP="00957074">
      <w:pPr>
        <w:jc w:val="center"/>
        <w:rPr>
          <w:sz w:val="28"/>
          <w:szCs w:val="28"/>
        </w:rPr>
      </w:pPr>
      <w:r w:rsidRPr="00BE10B3">
        <w:rPr>
          <w:sz w:val="28"/>
          <w:szCs w:val="28"/>
        </w:rPr>
        <w:t>Показатели эффективности Про</w:t>
      </w:r>
      <w:r w:rsidR="00957074">
        <w:rPr>
          <w:sz w:val="28"/>
          <w:szCs w:val="28"/>
        </w:rPr>
        <w:t>граммы</w:t>
      </w:r>
    </w:p>
    <w:p w:rsidR="00D73C22" w:rsidRDefault="00957074" w:rsidP="00957074">
      <w:pPr>
        <w:jc w:val="center"/>
        <w:rPr>
          <w:sz w:val="28"/>
          <w:szCs w:val="28"/>
        </w:rPr>
      </w:pPr>
      <w:r w:rsidRPr="0095707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E5C2F">
        <w:rPr>
          <w:sz w:val="28"/>
          <w:szCs w:val="28"/>
        </w:rPr>
        <w:t>жилищного</w:t>
      </w:r>
      <w:r w:rsidRPr="00957074">
        <w:rPr>
          <w:sz w:val="28"/>
          <w:szCs w:val="28"/>
        </w:rPr>
        <w:t xml:space="preserve"> контроля на территории </w:t>
      </w:r>
      <w:proofErr w:type="spellStart"/>
      <w:r w:rsidR="007C5539">
        <w:rPr>
          <w:sz w:val="28"/>
          <w:szCs w:val="28"/>
        </w:rPr>
        <w:t>Тейковского</w:t>
      </w:r>
      <w:proofErr w:type="spellEnd"/>
      <w:r w:rsidR="007C5539">
        <w:rPr>
          <w:sz w:val="28"/>
          <w:szCs w:val="28"/>
        </w:rPr>
        <w:t xml:space="preserve"> муниципального района</w:t>
      </w:r>
      <w:r w:rsidR="00D52CC4">
        <w:rPr>
          <w:sz w:val="28"/>
          <w:szCs w:val="28"/>
        </w:rPr>
        <w:t xml:space="preserve"> </w:t>
      </w:r>
    </w:p>
    <w:p w:rsidR="007C5539" w:rsidRDefault="007C5539" w:rsidP="0095707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C4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9B723B">
              <w:t>6 Федерального закона от 31.07.</w:t>
            </w:r>
            <w:r w:rsidR="004B3117">
              <w:t xml:space="preserve"> 2020</w:t>
            </w:r>
            <w:r w:rsidR="00D52CC4">
              <w:t xml:space="preserve"> </w:t>
            </w:r>
          </w:p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4B3117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83422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0C4DD2">
              <w:t>3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Pr="00756285" w:rsidRDefault="003626F2" w:rsidP="002F0A2D">
      <w:pPr>
        <w:ind w:left="5103"/>
        <w:jc w:val="right"/>
        <w:rPr>
          <w:bCs/>
        </w:rPr>
      </w:pPr>
      <w:r w:rsidRPr="00756285">
        <w:rPr>
          <w:bCs/>
        </w:rPr>
        <w:t>П</w:t>
      </w:r>
      <w:r w:rsidR="00D73C22" w:rsidRPr="00756285">
        <w:rPr>
          <w:bCs/>
        </w:rPr>
        <w:t>риложение к Программе</w:t>
      </w:r>
      <w:r w:rsidR="00756285" w:rsidRPr="00756285">
        <w:rPr>
          <w:bCs/>
        </w:rPr>
        <w:t xml:space="preserve"> </w:t>
      </w:r>
      <w:r w:rsidR="00756285" w:rsidRPr="00756285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56285" w:rsidRPr="00756285">
        <w:rPr>
          <w:rFonts w:eastAsia="Calibri"/>
          <w:lang w:eastAsia="en-US"/>
        </w:rPr>
        <w:t>Тейковского</w:t>
      </w:r>
      <w:proofErr w:type="spellEnd"/>
      <w:r w:rsidR="00756285" w:rsidRPr="00756285">
        <w:rPr>
          <w:rFonts w:eastAsia="Calibri"/>
          <w:lang w:eastAsia="en-US"/>
        </w:rPr>
        <w:t xml:space="preserve"> муниципального района</w:t>
      </w:r>
    </w:p>
    <w:p w:rsidR="00E11511" w:rsidRPr="00914056" w:rsidRDefault="00E11511" w:rsidP="00D73C22">
      <w:pPr>
        <w:jc w:val="right"/>
        <w:rPr>
          <w:bCs/>
        </w:rPr>
      </w:pP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jc w:val="center"/>
        <w:rPr>
          <w:b/>
          <w:bCs/>
          <w:sz w:val="28"/>
          <w:szCs w:val="28"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1151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ind w:firstLine="36"/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D52CC4" w:rsidRDefault="00D73C22" w:rsidP="00D73C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CC4">
              <w:rPr>
                <w:b/>
              </w:rPr>
              <w:t xml:space="preserve">Подразделение и (или) должностные лица администрации </w:t>
            </w:r>
            <w:proofErr w:type="spellStart"/>
            <w:r w:rsidR="00AC2A05" w:rsidRPr="00D52CC4">
              <w:rPr>
                <w:b/>
              </w:rPr>
              <w:t>Тейковского</w:t>
            </w:r>
            <w:proofErr w:type="spellEnd"/>
            <w:r w:rsidR="00AC2A05" w:rsidRPr="00D52CC4">
              <w:rPr>
                <w:b/>
              </w:rPr>
              <w:t xml:space="preserve"> муниципального района</w:t>
            </w:r>
            <w:r w:rsidR="00F37024" w:rsidRPr="00D52CC4">
              <w:rPr>
                <w:b/>
              </w:rPr>
              <w:t xml:space="preserve"> Ивановской области</w:t>
            </w:r>
            <w:r w:rsidRPr="00D52CC4">
              <w:rPr>
                <w:b/>
              </w:rPr>
              <w:t>, ответственные за реализацию мероприятия</w:t>
            </w:r>
          </w:p>
          <w:p w:rsidR="00D73C22" w:rsidRPr="00D52CC4" w:rsidRDefault="00D73C22" w:rsidP="00D73C2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1.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8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7C5539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="009D6838" w:rsidRPr="00E11511">
              <w:rPr>
                <w:sz w:val="22"/>
                <w:szCs w:val="22"/>
              </w:rPr>
              <w:t xml:space="preserve"> администрации</w:t>
            </w:r>
            <w:r w:rsidR="00957074" w:rsidRPr="00E11511">
              <w:rPr>
                <w:sz w:val="22"/>
                <w:szCs w:val="22"/>
              </w:rPr>
              <w:t xml:space="preserve"> </w:t>
            </w:r>
            <w:proofErr w:type="spellStart"/>
            <w:r w:rsidR="007C5539" w:rsidRPr="00E11511">
              <w:rPr>
                <w:sz w:val="22"/>
                <w:szCs w:val="22"/>
              </w:rPr>
              <w:t>Тейковского</w:t>
            </w:r>
            <w:proofErr w:type="spellEnd"/>
            <w:r w:rsidR="007C5539" w:rsidRPr="00E11511">
              <w:rPr>
                <w:sz w:val="22"/>
                <w:szCs w:val="22"/>
              </w:rPr>
              <w:t xml:space="preserve">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E11511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при направлении их в адрес</w:t>
            </w:r>
            <w:proofErr w:type="gramEnd"/>
            <w:r w:rsidRPr="00E11511">
              <w:rPr>
                <w:rFonts w:eastAsia="Calibri"/>
                <w:sz w:val="22"/>
                <w:szCs w:val="22"/>
              </w:rPr>
              <w:t xml:space="preserve"> администрации </w:t>
            </w:r>
            <w:proofErr w:type="spellStart"/>
            <w:r w:rsidR="009D6838" w:rsidRPr="00E11511">
              <w:rPr>
                <w:rFonts w:eastAsia="Calibri"/>
                <w:sz w:val="22"/>
                <w:szCs w:val="22"/>
              </w:rPr>
              <w:t>Тейковского</w:t>
            </w:r>
            <w:proofErr w:type="spellEnd"/>
            <w:r w:rsidR="009D6838" w:rsidRPr="00E11511">
              <w:rPr>
                <w:rFonts w:eastAsia="Calibri"/>
                <w:sz w:val="22"/>
                <w:szCs w:val="22"/>
              </w:rPr>
              <w:t xml:space="preserve"> </w:t>
            </w:r>
            <w:r w:rsidR="00D52CC4">
              <w:rPr>
                <w:rFonts w:eastAsia="Calibri"/>
                <w:sz w:val="22"/>
                <w:szCs w:val="22"/>
              </w:rPr>
              <w:t xml:space="preserve">муниципального района </w:t>
            </w:r>
            <w:r w:rsidRPr="00E11511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E11511">
              <w:rPr>
                <w:sz w:val="22"/>
                <w:szCs w:val="22"/>
              </w:rPr>
              <w:t>Тейковского</w:t>
            </w:r>
            <w:proofErr w:type="spellEnd"/>
            <w:r w:rsidRPr="00E11511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73C22" w:rsidRPr="00E11511" w:rsidTr="00D73C22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F01BC8" w:rsidRPr="00E11511">
              <w:rPr>
                <w:sz w:val="22"/>
                <w:szCs w:val="22"/>
              </w:rPr>
              <w:t xml:space="preserve"> касающейся</w:t>
            </w:r>
            <w:r w:rsidRPr="00E11511">
              <w:rPr>
                <w:sz w:val="22"/>
                <w:szCs w:val="22"/>
              </w:rPr>
              <w:t xml:space="preserve"> </w:t>
            </w:r>
            <w:r w:rsidR="00F01BC8" w:rsidRPr="00E11511">
              <w:rPr>
                <w:rFonts w:eastAsia="Calibri"/>
                <w:sz w:val="22"/>
                <w:szCs w:val="22"/>
                <w:lang w:eastAsia="en-US"/>
              </w:rPr>
              <w:t>перечня объектов муниципального контроля, которым присвоены категории риска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E11511">
              <w:rPr>
                <w:sz w:val="22"/>
                <w:szCs w:val="22"/>
              </w:rPr>
              <w:t>Тейковского</w:t>
            </w:r>
            <w:proofErr w:type="spellEnd"/>
            <w:r w:rsidRPr="00E11511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73C22" w:rsidRPr="00E11511" w:rsidTr="00E11511">
        <w:trPr>
          <w:trHeight w:val="1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11511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proofErr w:type="spellStart"/>
            <w:r w:rsidR="00914056" w:rsidRPr="00E11511">
              <w:rPr>
                <w:sz w:val="22"/>
                <w:szCs w:val="22"/>
              </w:rPr>
              <w:t>Тейковского</w:t>
            </w:r>
            <w:proofErr w:type="spellEnd"/>
            <w:r w:rsidR="00914056" w:rsidRPr="00E11511">
              <w:rPr>
                <w:sz w:val="22"/>
                <w:szCs w:val="22"/>
              </w:rPr>
              <w:t xml:space="preserve">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  <w:r w:rsidRPr="00E11511">
              <w:rPr>
                <w:sz w:val="22"/>
                <w:szCs w:val="22"/>
              </w:rPr>
              <w:t xml:space="preserve"> в срок, не превышающий 5 рабочих </w:t>
            </w:r>
            <w:r w:rsidR="009B723B">
              <w:rPr>
                <w:sz w:val="22"/>
                <w:szCs w:val="22"/>
              </w:rPr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E11511">
              <w:rPr>
                <w:sz w:val="22"/>
                <w:szCs w:val="22"/>
              </w:rPr>
              <w:t>Тейковского</w:t>
            </w:r>
            <w:proofErr w:type="spellEnd"/>
            <w:r w:rsidRPr="00E11511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Ежегодно, не позднее </w:t>
            </w:r>
            <w:r w:rsidRPr="00E11511">
              <w:rPr>
                <w:iCs/>
                <w:sz w:val="22"/>
                <w:szCs w:val="22"/>
              </w:rPr>
              <w:t>1 июня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E11511">
              <w:rPr>
                <w:sz w:val="22"/>
                <w:szCs w:val="22"/>
              </w:rPr>
              <w:t>Тейковского</w:t>
            </w:r>
            <w:proofErr w:type="spellEnd"/>
            <w:r w:rsidRPr="00E11511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73C22" w:rsidRPr="00E11511" w:rsidRDefault="00D73C22" w:rsidP="00D73C22">
            <w:pPr>
              <w:rPr>
                <w:rFonts w:eastAsia="Calibri"/>
              </w:rPr>
            </w:pPr>
          </w:p>
        </w:tc>
      </w:tr>
      <w:tr w:rsidR="00D73C22" w:rsidRPr="00E11511" w:rsidTr="00DC525C">
        <w:trPr>
          <w:trHeight w:val="66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proofErr w:type="spellStart"/>
            <w:r w:rsidR="00914056" w:rsidRPr="00E11511">
              <w:rPr>
                <w:rFonts w:eastAsia="Calibri"/>
                <w:sz w:val="22"/>
                <w:szCs w:val="22"/>
              </w:rPr>
              <w:t>Тейковского</w:t>
            </w:r>
            <w:proofErr w:type="spellEnd"/>
            <w:r w:rsidR="00914056" w:rsidRPr="00E11511">
              <w:rPr>
                <w:rFonts w:eastAsia="Calibri"/>
                <w:sz w:val="22"/>
                <w:szCs w:val="22"/>
              </w:rPr>
              <w:t xml:space="preserve">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организация и осуществление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контроля;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порядок осуществления профилактических, контрольных мероприятий, установленных Положением о муниципальном </w:t>
            </w:r>
            <w:r w:rsidR="005E5C2F">
              <w:rPr>
                <w:rFonts w:eastAsia="Calibri"/>
                <w:sz w:val="22"/>
                <w:szCs w:val="22"/>
              </w:rPr>
              <w:t>жилищном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контроле на территории </w:t>
            </w:r>
            <w:proofErr w:type="spellStart"/>
            <w:r w:rsidR="00914056" w:rsidRPr="00E11511">
              <w:rPr>
                <w:rFonts w:eastAsia="Calibri"/>
                <w:sz w:val="22"/>
                <w:szCs w:val="22"/>
              </w:rPr>
              <w:t>Тейковского</w:t>
            </w:r>
            <w:proofErr w:type="spellEnd"/>
            <w:r w:rsidR="00914056" w:rsidRPr="00E11511">
              <w:rPr>
                <w:rFonts w:eastAsia="Calibri"/>
                <w:sz w:val="22"/>
                <w:szCs w:val="22"/>
              </w:rPr>
              <w:t xml:space="preserve">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>.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</w:t>
            </w:r>
            <w:r w:rsidR="005E5C2F">
              <w:rPr>
                <w:rFonts w:eastAsia="Calibri"/>
                <w:sz w:val="22"/>
                <w:szCs w:val="22"/>
              </w:rPr>
              <w:t>,</w:t>
            </w:r>
            <w:r w:rsidRPr="00E11511">
              <w:rPr>
                <w:rFonts w:eastAsia="Calibri"/>
                <w:sz w:val="22"/>
                <w:szCs w:val="22"/>
              </w:rPr>
              <w:t xml:space="preserve">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E11511">
              <w:rPr>
                <w:sz w:val="22"/>
                <w:szCs w:val="22"/>
              </w:rPr>
              <w:t>Тейковского</w:t>
            </w:r>
            <w:proofErr w:type="spellEnd"/>
            <w:r w:rsidRPr="00E11511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0C4DD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постоянно</w:t>
            </w:r>
          </w:p>
          <w:p w:rsidR="00D73C22" w:rsidRPr="00E11511" w:rsidRDefault="00D73C22" w:rsidP="0091127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D73C22" w:rsidRPr="00E11511" w:rsidRDefault="00D73C22" w:rsidP="00D73C22">
      <w:pPr>
        <w:pStyle w:val="ConsPlusTitle"/>
        <w:widowControl/>
        <w:jc w:val="center"/>
        <w:rPr>
          <w:rFonts w:eastAsiaTheme="minorHAnsi"/>
          <w:sz w:val="22"/>
          <w:szCs w:val="22"/>
          <w:lang w:eastAsia="en-US"/>
        </w:rPr>
      </w:pPr>
    </w:p>
    <w:sectPr w:rsidR="00D73C22" w:rsidRPr="00E11511" w:rsidSect="00F715E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FC" w:rsidRDefault="002908FC" w:rsidP="0079381E">
      <w:r>
        <w:separator/>
      </w:r>
    </w:p>
  </w:endnote>
  <w:endnote w:type="continuationSeparator" w:id="0">
    <w:p w:rsidR="002908FC" w:rsidRDefault="002908FC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FC" w:rsidRDefault="002908FC" w:rsidP="0079381E">
      <w:r>
        <w:separator/>
      </w:r>
    </w:p>
  </w:footnote>
  <w:footnote w:type="continuationSeparator" w:id="0">
    <w:p w:rsidR="002908FC" w:rsidRDefault="002908FC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563CE"/>
    <w:multiLevelType w:val="hybridMultilevel"/>
    <w:tmpl w:val="EE32A104"/>
    <w:lvl w:ilvl="0" w:tplc="51521752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03593"/>
    <w:rsid w:val="0001303F"/>
    <w:rsid w:val="00015CFA"/>
    <w:rsid w:val="00017A65"/>
    <w:rsid w:val="00023394"/>
    <w:rsid w:val="00056528"/>
    <w:rsid w:val="0005658B"/>
    <w:rsid w:val="00064C26"/>
    <w:rsid w:val="00066FB8"/>
    <w:rsid w:val="00080795"/>
    <w:rsid w:val="000840A5"/>
    <w:rsid w:val="00091C57"/>
    <w:rsid w:val="000B0818"/>
    <w:rsid w:val="000C4DD2"/>
    <w:rsid w:val="000D2FCB"/>
    <w:rsid w:val="000D3446"/>
    <w:rsid w:val="000D44F0"/>
    <w:rsid w:val="000D4FBE"/>
    <w:rsid w:val="000E0D9D"/>
    <w:rsid w:val="000E5C68"/>
    <w:rsid w:val="000F3DA9"/>
    <w:rsid w:val="001018CD"/>
    <w:rsid w:val="00105210"/>
    <w:rsid w:val="0011596D"/>
    <w:rsid w:val="001260F2"/>
    <w:rsid w:val="00127CBF"/>
    <w:rsid w:val="001319D1"/>
    <w:rsid w:val="00133BAC"/>
    <w:rsid w:val="001348C8"/>
    <w:rsid w:val="00146F6F"/>
    <w:rsid w:val="001528EB"/>
    <w:rsid w:val="001A0F64"/>
    <w:rsid w:val="001D0191"/>
    <w:rsid w:val="001D324F"/>
    <w:rsid w:val="001D5CFF"/>
    <w:rsid w:val="001E2F40"/>
    <w:rsid w:val="001E717D"/>
    <w:rsid w:val="001F2ADF"/>
    <w:rsid w:val="00201ED5"/>
    <w:rsid w:val="00212806"/>
    <w:rsid w:val="00221FB5"/>
    <w:rsid w:val="00231916"/>
    <w:rsid w:val="00245D1F"/>
    <w:rsid w:val="002643B1"/>
    <w:rsid w:val="00266F62"/>
    <w:rsid w:val="0027355C"/>
    <w:rsid w:val="002744FC"/>
    <w:rsid w:val="00281F34"/>
    <w:rsid w:val="00285F6E"/>
    <w:rsid w:val="002908FC"/>
    <w:rsid w:val="002928AB"/>
    <w:rsid w:val="002A475E"/>
    <w:rsid w:val="002A497B"/>
    <w:rsid w:val="002B6DDA"/>
    <w:rsid w:val="002C3C90"/>
    <w:rsid w:val="002C4CFE"/>
    <w:rsid w:val="002D3A6B"/>
    <w:rsid w:val="002E4DEB"/>
    <w:rsid w:val="002E6A52"/>
    <w:rsid w:val="002F0A2D"/>
    <w:rsid w:val="002F34D2"/>
    <w:rsid w:val="0030131A"/>
    <w:rsid w:val="00301958"/>
    <w:rsid w:val="00311EC6"/>
    <w:rsid w:val="00313D7A"/>
    <w:rsid w:val="00316C0D"/>
    <w:rsid w:val="00317A2F"/>
    <w:rsid w:val="0033040A"/>
    <w:rsid w:val="00331F26"/>
    <w:rsid w:val="0034688F"/>
    <w:rsid w:val="00355681"/>
    <w:rsid w:val="003626F2"/>
    <w:rsid w:val="0037486A"/>
    <w:rsid w:val="003766D7"/>
    <w:rsid w:val="0037761F"/>
    <w:rsid w:val="00382FF0"/>
    <w:rsid w:val="00387294"/>
    <w:rsid w:val="003A344E"/>
    <w:rsid w:val="003A6020"/>
    <w:rsid w:val="003B2F13"/>
    <w:rsid w:val="003B4450"/>
    <w:rsid w:val="003B584A"/>
    <w:rsid w:val="003C7A12"/>
    <w:rsid w:val="003D18CA"/>
    <w:rsid w:val="003E00A8"/>
    <w:rsid w:val="003F4DAA"/>
    <w:rsid w:val="004074F6"/>
    <w:rsid w:val="00415414"/>
    <w:rsid w:val="00416774"/>
    <w:rsid w:val="00437099"/>
    <w:rsid w:val="004425DB"/>
    <w:rsid w:val="00446AB2"/>
    <w:rsid w:val="0045306E"/>
    <w:rsid w:val="00463010"/>
    <w:rsid w:val="0046456A"/>
    <w:rsid w:val="00466937"/>
    <w:rsid w:val="00474D40"/>
    <w:rsid w:val="00480E7C"/>
    <w:rsid w:val="004826DE"/>
    <w:rsid w:val="00485DB8"/>
    <w:rsid w:val="004937BB"/>
    <w:rsid w:val="004A2D37"/>
    <w:rsid w:val="004A60EC"/>
    <w:rsid w:val="004A673C"/>
    <w:rsid w:val="004B10DB"/>
    <w:rsid w:val="004B3117"/>
    <w:rsid w:val="004B46FC"/>
    <w:rsid w:val="004B75C2"/>
    <w:rsid w:val="004D0C08"/>
    <w:rsid w:val="004D33FF"/>
    <w:rsid w:val="004D4782"/>
    <w:rsid w:val="004F3DAB"/>
    <w:rsid w:val="004F54CE"/>
    <w:rsid w:val="004F5771"/>
    <w:rsid w:val="0050087B"/>
    <w:rsid w:val="005129A3"/>
    <w:rsid w:val="005144EA"/>
    <w:rsid w:val="005157B7"/>
    <w:rsid w:val="00532696"/>
    <w:rsid w:val="00545537"/>
    <w:rsid w:val="00557486"/>
    <w:rsid w:val="00557906"/>
    <w:rsid w:val="00582449"/>
    <w:rsid w:val="005B46F2"/>
    <w:rsid w:val="005B4B2B"/>
    <w:rsid w:val="005B6677"/>
    <w:rsid w:val="005B6891"/>
    <w:rsid w:val="005C2A00"/>
    <w:rsid w:val="005D46CD"/>
    <w:rsid w:val="005E1D92"/>
    <w:rsid w:val="005E5C2F"/>
    <w:rsid w:val="005E6C02"/>
    <w:rsid w:val="0060221A"/>
    <w:rsid w:val="00604C3B"/>
    <w:rsid w:val="006075F1"/>
    <w:rsid w:val="00612617"/>
    <w:rsid w:val="00613570"/>
    <w:rsid w:val="00614B62"/>
    <w:rsid w:val="00616C9A"/>
    <w:rsid w:val="00627996"/>
    <w:rsid w:val="00630125"/>
    <w:rsid w:val="0063073B"/>
    <w:rsid w:val="00650B3A"/>
    <w:rsid w:val="00652CEF"/>
    <w:rsid w:val="00663829"/>
    <w:rsid w:val="006653D2"/>
    <w:rsid w:val="00670292"/>
    <w:rsid w:val="00682E2E"/>
    <w:rsid w:val="0068431D"/>
    <w:rsid w:val="00685AFE"/>
    <w:rsid w:val="00687DB6"/>
    <w:rsid w:val="006915BD"/>
    <w:rsid w:val="0069384E"/>
    <w:rsid w:val="00694306"/>
    <w:rsid w:val="006A29BC"/>
    <w:rsid w:val="006A300D"/>
    <w:rsid w:val="006A6078"/>
    <w:rsid w:val="006A6D9C"/>
    <w:rsid w:val="006B3749"/>
    <w:rsid w:val="006C1CD0"/>
    <w:rsid w:val="006C1DBD"/>
    <w:rsid w:val="006D5D47"/>
    <w:rsid w:val="006D5FD3"/>
    <w:rsid w:val="006F0569"/>
    <w:rsid w:val="007006D2"/>
    <w:rsid w:val="00706B90"/>
    <w:rsid w:val="00726792"/>
    <w:rsid w:val="007305E6"/>
    <w:rsid w:val="0073229D"/>
    <w:rsid w:val="007336A0"/>
    <w:rsid w:val="00746C64"/>
    <w:rsid w:val="00746E99"/>
    <w:rsid w:val="00751ABA"/>
    <w:rsid w:val="00753DD9"/>
    <w:rsid w:val="00756285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5539"/>
    <w:rsid w:val="007D0422"/>
    <w:rsid w:val="007D0DC5"/>
    <w:rsid w:val="007D6261"/>
    <w:rsid w:val="007E0F3D"/>
    <w:rsid w:val="007E1117"/>
    <w:rsid w:val="0080451F"/>
    <w:rsid w:val="0082153D"/>
    <w:rsid w:val="00830C67"/>
    <w:rsid w:val="00834221"/>
    <w:rsid w:val="0083554F"/>
    <w:rsid w:val="00840C56"/>
    <w:rsid w:val="008447EC"/>
    <w:rsid w:val="00844F83"/>
    <w:rsid w:val="00852041"/>
    <w:rsid w:val="0086485D"/>
    <w:rsid w:val="008653F5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E5D87"/>
    <w:rsid w:val="008F089B"/>
    <w:rsid w:val="008F0EEC"/>
    <w:rsid w:val="00901302"/>
    <w:rsid w:val="009058E1"/>
    <w:rsid w:val="0091127D"/>
    <w:rsid w:val="00913EB5"/>
    <w:rsid w:val="00914056"/>
    <w:rsid w:val="00932F7D"/>
    <w:rsid w:val="009466DA"/>
    <w:rsid w:val="00950033"/>
    <w:rsid w:val="009547B4"/>
    <w:rsid w:val="00955DBA"/>
    <w:rsid w:val="00955DC9"/>
    <w:rsid w:val="00957074"/>
    <w:rsid w:val="00962038"/>
    <w:rsid w:val="009645B9"/>
    <w:rsid w:val="0096764E"/>
    <w:rsid w:val="009712E9"/>
    <w:rsid w:val="00973E04"/>
    <w:rsid w:val="00975CE0"/>
    <w:rsid w:val="00982EC2"/>
    <w:rsid w:val="00983645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B723B"/>
    <w:rsid w:val="009C24A9"/>
    <w:rsid w:val="009C5753"/>
    <w:rsid w:val="009D32E4"/>
    <w:rsid w:val="009D6838"/>
    <w:rsid w:val="009E2057"/>
    <w:rsid w:val="009E79F2"/>
    <w:rsid w:val="00A0169D"/>
    <w:rsid w:val="00A0359F"/>
    <w:rsid w:val="00A04B79"/>
    <w:rsid w:val="00A0674E"/>
    <w:rsid w:val="00A105B9"/>
    <w:rsid w:val="00A14FC7"/>
    <w:rsid w:val="00A2267F"/>
    <w:rsid w:val="00A43F7F"/>
    <w:rsid w:val="00A53AF6"/>
    <w:rsid w:val="00A553AA"/>
    <w:rsid w:val="00A61779"/>
    <w:rsid w:val="00A66908"/>
    <w:rsid w:val="00A67B8F"/>
    <w:rsid w:val="00A86B1D"/>
    <w:rsid w:val="00A92158"/>
    <w:rsid w:val="00A97AAF"/>
    <w:rsid w:val="00AA6203"/>
    <w:rsid w:val="00AA7C06"/>
    <w:rsid w:val="00AB0178"/>
    <w:rsid w:val="00AC2A05"/>
    <w:rsid w:val="00AC6772"/>
    <w:rsid w:val="00AD4D74"/>
    <w:rsid w:val="00AD5189"/>
    <w:rsid w:val="00AE4D15"/>
    <w:rsid w:val="00AE5ACC"/>
    <w:rsid w:val="00AE6516"/>
    <w:rsid w:val="00B0280C"/>
    <w:rsid w:val="00B028DB"/>
    <w:rsid w:val="00B10235"/>
    <w:rsid w:val="00B1130D"/>
    <w:rsid w:val="00B30DF9"/>
    <w:rsid w:val="00B36824"/>
    <w:rsid w:val="00B42F38"/>
    <w:rsid w:val="00B5148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04E0"/>
    <w:rsid w:val="00BA5223"/>
    <w:rsid w:val="00BB0A5E"/>
    <w:rsid w:val="00BB6F38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378B"/>
    <w:rsid w:val="00C51B75"/>
    <w:rsid w:val="00C7447F"/>
    <w:rsid w:val="00C77481"/>
    <w:rsid w:val="00C82B97"/>
    <w:rsid w:val="00C87094"/>
    <w:rsid w:val="00C9263F"/>
    <w:rsid w:val="00CB1BFF"/>
    <w:rsid w:val="00CB57C2"/>
    <w:rsid w:val="00CB5AF0"/>
    <w:rsid w:val="00CD3247"/>
    <w:rsid w:val="00CE24AE"/>
    <w:rsid w:val="00CF2A61"/>
    <w:rsid w:val="00CF4D1B"/>
    <w:rsid w:val="00D10B64"/>
    <w:rsid w:val="00D15838"/>
    <w:rsid w:val="00D23BEC"/>
    <w:rsid w:val="00D25EE8"/>
    <w:rsid w:val="00D31453"/>
    <w:rsid w:val="00D43313"/>
    <w:rsid w:val="00D52AB6"/>
    <w:rsid w:val="00D52CC4"/>
    <w:rsid w:val="00D619FD"/>
    <w:rsid w:val="00D61A7E"/>
    <w:rsid w:val="00D67338"/>
    <w:rsid w:val="00D73632"/>
    <w:rsid w:val="00D73C22"/>
    <w:rsid w:val="00D77490"/>
    <w:rsid w:val="00D83915"/>
    <w:rsid w:val="00D87A0D"/>
    <w:rsid w:val="00D87BAD"/>
    <w:rsid w:val="00DA725D"/>
    <w:rsid w:val="00DB5682"/>
    <w:rsid w:val="00DC525C"/>
    <w:rsid w:val="00DD4D77"/>
    <w:rsid w:val="00E03032"/>
    <w:rsid w:val="00E03FB2"/>
    <w:rsid w:val="00E105FD"/>
    <w:rsid w:val="00E11511"/>
    <w:rsid w:val="00E13505"/>
    <w:rsid w:val="00E1440E"/>
    <w:rsid w:val="00E17C0E"/>
    <w:rsid w:val="00E245F8"/>
    <w:rsid w:val="00E27A56"/>
    <w:rsid w:val="00E52CBF"/>
    <w:rsid w:val="00E57A6E"/>
    <w:rsid w:val="00E60D3C"/>
    <w:rsid w:val="00E638B2"/>
    <w:rsid w:val="00E66DC3"/>
    <w:rsid w:val="00E74E52"/>
    <w:rsid w:val="00E80055"/>
    <w:rsid w:val="00E81515"/>
    <w:rsid w:val="00E924A5"/>
    <w:rsid w:val="00E93344"/>
    <w:rsid w:val="00EA724E"/>
    <w:rsid w:val="00EB3CD4"/>
    <w:rsid w:val="00ED0568"/>
    <w:rsid w:val="00EE306B"/>
    <w:rsid w:val="00EE6035"/>
    <w:rsid w:val="00F01BC8"/>
    <w:rsid w:val="00F044B9"/>
    <w:rsid w:val="00F141BA"/>
    <w:rsid w:val="00F20EA0"/>
    <w:rsid w:val="00F3224B"/>
    <w:rsid w:val="00F34A67"/>
    <w:rsid w:val="00F37024"/>
    <w:rsid w:val="00F65A6F"/>
    <w:rsid w:val="00F67228"/>
    <w:rsid w:val="00F67D4D"/>
    <w:rsid w:val="00F708CC"/>
    <w:rsid w:val="00F70B65"/>
    <w:rsid w:val="00F715E8"/>
    <w:rsid w:val="00F801EA"/>
    <w:rsid w:val="00F819DE"/>
    <w:rsid w:val="00F83E06"/>
    <w:rsid w:val="00F91C64"/>
    <w:rsid w:val="00F942B7"/>
    <w:rsid w:val="00F94346"/>
    <w:rsid w:val="00FB4FD6"/>
    <w:rsid w:val="00FC47F5"/>
    <w:rsid w:val="00FC49EF"/>
    <w:rsid w:val="00FC7316"/>
    <w:rsid w:val="00FD43DB"/>
    <w:rsid w:val="00FD50AC"/>
    <w:rsid w:val="00FD749B"/>
    <w:rsid w:val="00FE193A"/>
    <w:rsid w:val="00FF046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qFormat/>
    <w:rsid w:val="00B1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A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rsid w:val="00B1130D"/>
    <w:rPr>
      <w:rFonts w:ascii="Courier New" w:eastAsia="SimSun" w:hAnsi="Courier New" w:cs="Courier New"/>
      <w:color w:val="00000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qFormat/>
    <w:rsid w:val="00B1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A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rsid w:val="00B1130D"/>
    <w:rPr>
      <w:rFonts w:ascii="Courier New" w:eastAsia="SimSun" w:hAnsi="Courier New" w:cs="Courier New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C114-C070-4D6A-A083-1A3A8B5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PC</cp:lastModifiedBy>
  <cp:revision>4</cp:revision>
  <cp:lastPrinted>2022-02-25T12:20:00Z</cp:lastPrinted>
  <dcterms:created xsi:type="dcterms:W3CDTF">2023-09-29T08:02:00Z</dcterms:created>
  <dcterms:modified xsi:type="dcterms:W3CDTF">2023-09-29T09:57:00Z</dcterms:modified>
</cp:coreProperties>
</file>