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2B" w:rsidRPr="004F7EC9" w:rsidRDefault="0051172B" w:rsidP="005117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EC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51172B" w:rsidRPr="004F7EC9" w:rsidRDefault="0051172B" w:rsidP="0051172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EC9">
        <w:rPr>
          <w:rFonts w:ascii="Times New Roman" w:hAnsi="Times New Roman" w:cs="Times New Roman"/>
          <w:b/>
          <w:bCs/>
          <w:sz w:val="24"/>
          <w:szCs w:val="24"/>
        </w:rPr>
        <w:t>ТЕЙКОВСКОГО МУНИЦИПАЛЬНОГО РАЙОНА</w:t>
      </w:r>
    </w:p>
    <w:p w:rsidR="0051172B" w:rsidRPr="004F7EC9" w:rsidRDefault="0051172B" w:rsidP="0051172B">
      <w:pPr>
        <w:spacing w:after="0"/>
        <w:ind w:right="-8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EC9">
        <w:rPr>
          <w:rFonts w:ascii="Times New Roman" w:hAnsi="Times New Roman" w:cs="Times New Roman"/>
          <w:b/>
          <w:bCs/>
          <w:sz w:val="24"/>
          <w:szCs w:val="24"/>
        </w:rPr>
        <w:t>ИВАНОВСКОЙ ОБЛАСТИ</w:t>
      </w:r>
    </w:p>
    <w:p w:rsidR="0051172B" w:rsidRPr="004F7EC9" w:rsidRDefault="0051172B" w:rsidP="0051172B">
      <w:pPr>
        <w:spacing w:after="0"/>
        <w:ind w:right="-8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</w:t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___</w:t>
      </w:r>
      <w:r w:rsid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</w:t>
      </w:r>
      <w:r w:rsidRPr="004F7EC9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</w:p>
    <w:p w:rsidR="0051172B" w:rsidRPr="004F7EC9" w:rsidRDefault="0051172B" w:rsidP="00511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72B" w:rsidRPr="004F7EC9" w:rsidRDefault="0051172B" w:rsidP="005117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72B" w:rsidRPr="004F7EC9" w:rsidRDefault="0051172B" w:rsidP="0051172B">
      <w:pPr>
        <w:pStyle w:val="1"/>
        <w:spacing w:line="276" w:lineRule="auto"/>
        <w:rPr>
          <w:sz w:val="24"/>
          <w:szCs w:val="24"/>
        </w:rPr>
      </w:pPr>
      <w:r w:rsidRPr="004F7EC9">
        <w:rPr>
          <w:sz w:val="24"/>
          <w:szCs w:val="24"/>
        </w:rPr>
        <w:t>П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О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С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Т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А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Н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О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В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Л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Е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Н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И</w:t>
      </w:r>
      <w:r w:rsidR="004F7EC9">
        <w:rPr>
          <w:sz w:val="24"/>
          <w:szCs w:val="24"/>
        </w:rPr>
        <w:t xml:space="preserve"> </w:t>
      </w:r>
      <w:r w:rsidRPr="004F7EC9">
        <w:rPr>
          <w:sz w:val="24"/>
          <w:szCs w:val="24"/>
        </w:rPr>
        <w:t>Е</w:t>
      </w:r>
    </w:p>
    <w:p w:rsidR="0051172B" w:rsidRPr="004F7EC9" w:rsidRDefault="0051172B" w:rsidP="005117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172B" w:rsidRPr="004F7EC9" w:rsidRDefault="004F7EC9" w:rsidP="0051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32A7" w:rsidRPr="004F7EC9">
        <w:rPr>
          <w:rFonts w:ascii="Times New Roman" w:hAnsi="Times New Roman" w:cs="Times New Roman"/>
          <w:sz w:val="24"/>
          <w:szCs w:val="24"/>
        </w:rPr>
        <w:t xml:space="preserve">30.06.2022 </w:t>
      </w:r>
      <w:r w:rsidR="0051172B" w:rsidRPr="004F7EC9">
        <w:rPr>
          <w:rFonts w:ascii="Times New Roman" w:hAnsi="Times New Roman" w:cs="Times New Roman"/>
          <w:sz w:val="24"/>
          <w:szCs w:val="24"/>
        </w:rPr>
        <w:t>№</w:t>
      </w:r>
      <w:r w:rsidR="007732A7" w:rsidRPr="004F7EC9">
        <w:rPr>
          <w:rFonts w:ascii="Times New Roman" w:hAnsi="Times New Roman" w:cs="Times New Roman"/>
          <w:sz w:val="24"/>
          <w:szCs w:val="24"/>
        </w:rPr>
        <w:t xml:space="preserve"> 227</w:t>
      </w:r>
      <w:r w:rsidR="0051172B" w:rsidRPr="004F7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72B" w:rsidRPr="004F7EC9" w:rsidRDefault="0051172B" w:rsidP="0051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EC9">
        <w:rPr>
          <w:rFonts w:ascii="Times New Roman" w:hAnsi="Times New Roman" w:cs="Times New Roman"/>
          <w:sz w:val="24"/>
          <w:szCs w:val="24"/>
        </w:rPr>
        <w:t>г.Тейково</w:t>
      </w:r>
    </w:p>
    <w:p w:rsidR="0051172B" w:rsidRPr="004F7EC9" w:rsidRDefault="0051172B" w:rsidP="005117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72B" w:rsidRPr="004F7EC9" w:rsidRDefault="00004265" w:rsidP="002715CA">
      <w:pPr>
        <w:tabs>
          <w:tab w:val="left" w:pos="48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EC9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</w:t>
      </w:r>
      <w:r w:rsidRPr="004F7EC9">
        <w:rPr>
          <w:sz w:val="24"/>
          <w:szCs w:val="24"/>
        </w:rPr>
        <w:t xml:space="preserve"> </w:t>
      </w:r>
      <w:r w:rsidRPr="004F7EC9">
        <w:rPr>
          <w:rFonts w:ascii="Times New Roman" w:hAnsi="Times New Roman" w:cs="Times New Roman"/>
          <w:b/>
          <w:bCs/>
          <w:sz w:val="24"/>
          <w:szCs w:val="24"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223075" w:rsidRPr="004F7EC9" w:rsidRDefault="00223075" w:rsidP="002715CA">
      <w:pPr>
        <w:tabs>
          <w:tab w:val="left" w:pos="4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075" w:rsidRDefault="00223075" w:rsidP="002715CA">
      <w:pPr>
        <w:tabs>
          <w:tab w:val="left" w:pos="4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EC9" w:rsidRPr="004F7EC9" w:rsidRDefault="004F7EC9" w:rsidP="002715CA">
      <w:pPr>
        <w:tabs>
          <w:tab w:val="left" w:pos="486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72B" w:rsidRPr="004F7EC9" w:rsidRDefault="0051172B" w:rsidP="002715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sz w:val="24"/>
          <w:szCs w:val="24"/>
        </w:rPr>
        <w:t xml:space="preserve">В целях реализации </w:t>
      </w:r>
      <w:r w:rsidRPr="004F7EC9">
        <w:rPr>
          <w:rFonts w:ascii="Times New Roman" w:hAnsi="Times New Roman" w:cs="Times New Roman"/>
          <w:sz w:val="24"/>
          <w:szCs w:val="24"/>
        </w:rPr>
        <w:t>на территории Ивановской области Целевой модели развития региональной системы дополнительного образования детей во исполнение распоряжения Правительства Ивановской области от 15.08.2019 N 127-рп «О Концепции формирования современных управленческих и организационно-экономических механизмов в системе дополнительного образования детей в Ивановской области на 2020 - 2022 годы», на основании приказа Департамента образования Ивановской области от 02.06.2021№ 693-0 «О внесении сведений в систему «Навигатор дополнительного образования Ивановской области», в рамках реализации регионального проекта «Успех каждого ребенка» национального проекта «Образование»</w:t>
      </w:r>
      <w:r w:rsidR="00D76E62" w:rsidRPr="004F7EC9">
        <w:rPr>
          <w:rFonts w:ascii="Times New Roman" w:hAnsi="Times New Roman" w:cs="Times New Roman"/>
          <w:sz w:val="24"/>
          <w:szCs w:val="24"/>
        </w:rPr>
        <w:t>,</w:t>
      </w:r>
      <w:r w:rsidR="00495834" w:rsidRPr="004F7EC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495834" w:rsidRPr="004F7EC9">
        <w:rPr>
          <w:rFonts w:ascii="Times New Roman" w:hAnsi="Times New Roman" w:cs="Times New Roman"/>
          <w:sz w:val="24"/>
          <w:szCs w:val="24"/>
        </w:rPr>
        <w:t>Приказа  Минпросвещения России от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</w:t>
      </w:r>
      <w:r w:rsidR="00D76E62" w:rsidRPr="004F7EC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Тейковског</w:t>
      </w:r>
      <w:r w:rsidR="007B1984" w:rsidRPr="004F7EC9">
        <w:rPr>
          <w:rFonts w:ascii="Times New Roman" w:hAnsi="Times New Roman" w:cs="Times New Roman"/>
          <w:sz w:val="24"/>
          <w:szCs w:val="24"/>
        </w:rPr>
        <w:t>о муниципального района от 23.06.2022</w:t>
      </w:r>
      <w:r w:rsidR="00D76E62" w:rsidRPr="004F7EC9">
        <w:rPr>
          <w:rFonts w:ascii="Times New Roman" w:hAnsi="Times New Roman" w:cs="Times New Roman"/>
          <w:sz w:val="24"/>
          <w:szCs w:val="24"/>
        </w:rPr>
        <w:t xml:space="preserve"> № </w:t>
      </w:r>
      <w:r w:rsidR="007B1984" w:rsidRPr="004F7EC9">
        <w:rPr>
          <w:rFonts w:ascii="Times New Roman" w:hAnsi="Times New Roman" w:cs="Times New Roman"/>
          <w:sz w:val="24"/>
          <w:szCs w:val="24"/>
        </w:rPr>
        <w:t>215</w:t>
      </w:r>
      <w:r w:rsidR="00D76E62" w:rsidRPr="004F7EC9">
        <w:rPr>
          <w:rFonts w:ascii="Times New Roman" w:hAnsi="Times New Roman" w:cs="Times New Roman"/>
          <w:sz w:val="24"/>
          <w:szCs w:val="24"/>
        </w:rPr>
        <w:t xml:space="preserve"> «</w:t>
      </w:r>
      <w:r w:rsidR="007B1984" w:rsidRPr="004F7EC9">
        <w:rPr>
          <w:rFonts w:ascii="Times New Roman" w:hAnsi="Times New Roman" w:cs="Times New Roman"/>
          <w:sz w:val="24"/>
          <w:szCs w:val="24"/>
        </w:rPr>
        <w:t>О внедрении модели</w:t>
      </w:r>
      <w:r w:rsidR="00D76E62" w:rsidRPr="004F7EC9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 дополнительного образования детей в Тейковском муниципальном районе»</w:t>
      </w:r>
      <w:r w:rsidR="00223075" w:rsidRPr="004F7EC9">
        <w:rPr>
          <w:rFonts w:ascii="Times New Roman" w:hAnsi="Times New Roman" w:cs="Times New Roman"/>
          <w:sz w:val="24"/>
          <w:szCs w:val="24"/>
        </w:rPr>
        <w:t>, администрация Тейковского муниципального района</w:t>
      </w:r>
    </w:p>
    <w:p w:rsidR="00223075" w:rsidRPr="004F7EC9" w:rsidRDefault="00223075" w:rsidP="002715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51172B" w:rsidRPr="004F7EC9" w:rsidRDefault="00223075" w:rsidP="002715CA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EC9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223075" w:rsidRPr="004F7EC9" w:rsidRDefault="00223075" w:rsidP="002715C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6E62" w:rsidRPr="004F7EC9" w:rsidRDefault="00D76E62" w:rsidP="004F7E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EC9"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Pr="004F7EC9">
        <w:rPr>
          <w:rFonts w:ascii="Times New Roman" w:hAnsi="Times New Roman" w:cs="Times New Roman"/>
          <w:bCs/>
          <w:sz w:val="24"/>
          <w:szCs w:val="24"/>
        </w:rPr>
        <w:t>методику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4F7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7EC9">
        <w:rPr>
          <w:rFonts w:ascii="Times New Roman" w:hAnsi="Times New Roman" w:cs="Times New Roman"/>
          <w:color w:val="000000"/>
          <w:sz w:val="24"/>
          <w:szCs w:val="24"/>
        </w:rPr>
        <w:t>согласно приложению.</w:t>
      </w:r>
    </w:p>
    <w:p w:rsidR="0051172B" w:rsidRPr="004F7EC9" w:rsidRDefault="00D76E62" w:rsidP="004F7EC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7EC9">
        <w:rPr>
          <w:rFonts w:ascii="Times New Roman" w:hAnsi="Times New Roman" w:cs="Times New Roman"/>
          <w:bCs/>
          <w:sz w:val="24"/>
          <w:szCs w:val="24"/>
        </w:rPr>
        <w:t>2.</w:t>
      </w:r>
      <w:r w:rsidRPr="004F7E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7743" w:rsidRPr="004F7EC9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постановления возложить на </w:t>
      </w:r>
      <w:r w:rsidR="00223075" w:rsidRPr="004F7EC9">
        <w:rPr>
          <w:rFonts w:ascii="Times New Roman" w:eastAsia="Times New Roman" w:hAnsi="Times New Roman" w:cs="Times New Roman"/>
          <w:sz w:val="24"/>
          <w:szCs w:val="24"/>
        </w:rPr>
        <w:t>начальника финансового отдела</w:t>
      </w:r>
      <w:r w:rsidR="00497743" w:rsidRPr="004F7E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Тейковского муниципального района </w:t>
      </w:r>
      <w:r w:rsidR="00223075" w:rsidRPr="004F7EC9">
        <w:rPr>
          <w:rFonts w:ascii="Times New Roman" w:eastAsia="Times New Roman" w:hAnsi="Times New Roman" w:cs="Times New Roman"/>
          <w:sz w:val="24"/>
          <w:szCs w:val="24"/>
        </w:rPr>
        <w:t>Горбушеву Г.А.</w:t>
      </w:r>
      <w:r w:rsidR="00497743" w:rsidRPr="004F7E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172B" w:rsidRPr="004F7EC9" w:rsidRDefault="0051172B" w:rsidP="002715CA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7EC9" w:rsidRPr="004F7EC9" w:rsidRDefault="004F7EC9" w:rsidP="002715CA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72B" w:rsidRPr="004F7EC9" w:rsidRDefault="00223075" w:rsidP="00271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EC9">
        <w:rPr>
          <w:rFonts w:ascii="Times New Roman" w:hAnsi="Times New Roman" w:cs="Times New Roman"/>
          <w:b/>
          <w:sz w:val="24"/>
          <w:szCs w:val="24"/>
        </w:rPr>
        <w:t>И.о.главы</w:t>
      </w:r>
      <w:r w:rsidR="0051172B" w:rsidRPr="004F7EC9">
        <w:rPr>
          <w:rFonts w:ascii="Times New Roman" w:hAnsi="Times New Roman" w:cs="Times New Roman"/>
          <w:b/>
          <w:sz w:val="24"/>
          <w:szCs w:val="24"/>
        </w:rPr>
        <w:t xml:space="preserve"> Тейковского</w:t>
      </w:r>
    </w:p>
    <w:p w:rsidR="0051172B" w:rsidRPr="004F7EC9" w:rsidRDefault="0051172B" w:rsidP="002715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EC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          </w:t>
      </w:r>
      <w:r w:rsidR="00223075" w:rsidRPr="004F7EC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F7EC9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223075" w:rsidRPr="004F7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834" w:rsidRPr="004F7EC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7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075" w:rsidRPr="004F7EC9">
        <w:rPr>
          <w:rFonts w:ascii="Times New Roman" w:hAnsi="Times New Roman" w:cs="Times New Roman"/>
          <w:b/>
          <w:sz w:val="24"/>
          <w:szCs w:val="24"/>
        </w:rPr>
        <w:t>А.В. Дубинчин</w:t>
      </w:r>
    </w:p>
    <w:p w:rsidR="0051172B" w:rsidRPr="004F7EC9" w:rsidRDefault="0051172B" w:rsidP="002715CA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F7EC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51172B" w:rsidRPr="004F7EC9" w:rsidRDefault="00497743" w:rsidP="002715CA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F7EC9">
        <w:rPr>
          <w:rFonts w:ascii="Times New Roman" w:hAnsi="Times New Roman"/>
          <w:sz w:val="24"/>
          <w:szCs w:val="24"/>
        </w:rPr>
        <w:t>к постановлению</w:t>
      </w:r>
      <w:r w:rsidR="0051172B" w:rsidRPr="004F7EC9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51172B" w:rsidRPr="004F7EC9" w:rsidRDefault="0051172B" w:rsidP="002715CA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4F7EC9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51172B" w:rsidRPr="004F7EC9" w:rsidRDefault="0051172B" w:rsidP="007732A7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4F7EC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23075" w:rsidRPr="004F7E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F7EC9">
        <w:rPr>
          <w:rFonts w:ascii="Times New Roman" w:hAnsi="Times New Roman" w:cs="Times New Roman"/>
          <w:sz w:val="24"/>
          <w:szCs w:val="24"/>
        </w:rPr>
        <w:t xml:space="preserve">       от 30.06.2022</w:t>
      </w:r>
      <w:r w:rsidRPr="004F7EC9">
        <w:rPr>
          <w:rFonts w:ascii="Times New Roman" w:hAnsi="Times New Roman" w:cs="Times New Roman"/>
          <w:sz w:val="24"/>
          <w:szCs w:val="24"/>
        </w:rPr>
        <w:t xml:space="preserve"> №</w:t>
      </w:r>
      <w:r w:rsidR="007732A7" w:rsidRPr="004F7EC9">
        <w:rPr>
          <w:rFonts w:ascii="Times New Roman" w:hAnsi="Times New Roman" w:cs="Times New Roman"/>
          <w:sz w:val="24"/>
          <w:szCs w:val="24"/>
        </w:rPr>
        <w:t xml:space="preserve"> 227</w:t>
      </w:r>
    </w:p>
    <w:p w:rsidR="002715CA" w:rsidRPr="004F7EC9" w:rsidRDefault="00223075" w:rsidP="002715CA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D76E62" w:rsidRPr="004F7EC9" w:rsidRDefault="00D76E62" w:rsidP="004F7EC9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4F7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Методика определения нормативных затрат на оказание </w:t>
      </w:r>
      <w:r w:rsidR="00223075" w:rsidRPr="004F7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4F7EC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муниципальных услуг по реализации дополнительных общеобразовательных общеразвивающих программ</w:t>
      </w:r>
    </w:p>
    <w:p w:rsidR="00D76E62" w:rsidRPr="004F7EC9" w:rsidRDefault="00D76E62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E62" w:rsidRPr="004F7EC9" w:rsidRDefault="002715CA" w:rsidP="002715C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 w:rsidR="00D76E62" w:rsidRPr="004F7EC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715CA" w:rsidRPr="004F7EC9" w:rsidRDefault="002715CA" w:rsidP="002715C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543A" w:rsidRPr="004F7EC9" w:rsidRDefault="00D76E62" w:rsidP="002715CA">
      <w:pPr>
        <w:pStyle w:val="a4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sz w:val="24"/>
          <w:szCs w:val="24"/>
        </w:rPr>
        <w:t>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затрат.</w:t>
      </w:r>
    </w:p>
    <w:p w:rsidR="00B5543A" w:rsidRPr="004F7EC9" w:rsidRDefault="00D76E62" w:rsidP="002715CA">
      <w:pPr>
        <w:pStyle w:val="a4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методика применяется органами местного самоуправления </w:t>
      </w:r>
      <w:r w:rsidR="00B5543A" w:rsidRPr="004F7EC9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Тейковского муниципального района</w:t>
      </w:r>
      <w:r w:rsidRPr="004F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выполняют функции учредителя организаций, реализующих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а также в целях реализации обязательств перед организациями, реализующими дополнительные общеобразовательные общеразвивающие программы, при оказании услуг по реализации дополнительных общеобразовательных общеразвивающих программ в системе персонифицированного финансирования, в отношении которых органы местного самоуправления </w:t>
      </w:r>
      <w:r w:rsidR="00B5543A" w:rsidRPr="004F7EC9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Тейковского муниципального района</w:t>
      </w:r>
      <w:r w:rsidRPr="004F7EC9">
        <w:rPr>
          <w:rFonts w:ascii="Times New Roman" w:eastAsia="Times New Roman" w:hAnsi="Times New Roman" w:cs="Times New Roman"/>
          <w:color w:val="000000"/>
          <w:sz w:val="24"/>
          <w:szCs w:val="24"/>
        </w:rPr>
        <w:t>, не являю</w:t>
      </w:r>
      <w:r w:rsidR="00B5543A" w:rsidRPr="004F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учредителями организаций и </w:t>
      </w:r>
      <w:r w:rsidRPr="004F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частными образовательными организациями (индивидуальными предпринимателя), возникающих в рамках системы персонифицированного финансирования.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общеобразовательных общеразвивающих программ, устанавливаются нормативными актами органов местного самоуправления </w:t>
      </w:r>
      <w:r w:rsidR="00B5543A" w:rsidRPr="004F7EC9">
        <w:rPr>
          <w:rFonts w:ascii="Times New Roman" w:eastAsia="Times New Roman" w:hAnsi="Times New Roman" w:cs="Times New Roman"/>
          <w:color w:val="000000"/>
          <w:sz w:val="24"/>
          <w:szCs w:val="24"/>
        </w:rPr>
        <w:t>Тейковского муниципального района</w:t>
      </w:r>
      <w:r w:rsidRPr="004F7E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уполномоченный орган).</w:t>
      </w:r>
    </w:p>
    <w:p w:rsidR="00D76E62" w:rsidRPr="004F7EC9" w:rsidRDefault="00D76E62" w:rsidP="002715CA">
      <w:pPr>
        <w:pStyle w:val="a4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sz w:val="24"/>
          <w:szCs w:val="24"/>
        </w:rPr>
        <w:t xml:space="preserve">Настоящая </w:t>
      </w:r>
      <w:r w:rsidRPr="004F7EC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4F7EC9">
        <w:rPr>
          <w:rFonts w:ascii="Times New Roman" w:eastAsia="Times New Roman" w:hAnsi="Times New Roman" w:cs="Times New Roman"/>
          <w:sz w:val="24"/>
          <w:szCs w:val="24"/>
        </w:rPr>
        <w:t xml:space="preserve">етодика </w:t>
      </w:r>
      <w:r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разработана в целях:</w:t>
      </w:r>
    </w:p>
    <w:p w:rsidR="00D76E62" w:rsidRPr="004F7EC9" w:rsidRDefault="00D76E62" w:rsidP="002715C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установления экономически обоснованных механизмов и единых методов определения </w:t>
      </w:r>
      <w:r w:rsidRPr="004F7EC9">
        <w:rPr>
          <w:rFonts w:ascii="Times New Roman" w:eastAsia="Times New Roman" w:hAnsi="Times New Roman" w:cs="Times New Roman"/>
          <w:sz w:val="24"/>
          <w:szCs w:val="24"/>
        </w:rPr>
        <w:t>нормативных затрат на оказание муниципальных услуг по реализации дополнительных общеобразовательных общеразвивающих программ</w:t>
      </w:r>
      <w:r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B5543A" w:rsidRPr="004F7EC9" w:rsidRDefault="00D76E62" w:rsidP="002715C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sz w:val="24"/>
          <w:szCs w:val="24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:rsidR="00D76E62" w:rsidRPr="004F7EC9" w:rsidRDefault="00D76E62" w:rsidP="002715CA">
      <w:pPr>
        <w:pStyle w:val="a4"/>
        <w:widowControl w:val="0"/>
        <w:numPr>
          <w:ilvl w:val="1"/>
          <w:numId w:val="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организации, организации, осуществляющие обучение (в том числе организации спорта и культуры), реализующие дополнительные общеразвивающие программы в рамках системы персонифицированного финансирования,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4F7EC9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2715CA" w:rsidRPr="004F7EC9" w:rsidRDefault="002715CA" w:rsidP="002715CA">
      <w:pPr>
        <w:pStyle w:val="a4"/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E62" w:rsidRPr="004F7EC9" w:rsidRDefault="002715CA" w:rsidP="002715C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F7E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76E62" w:rsidRPr="004F7EC9">
        <w:rPr>
          <w:rFonts w:ascii="Times New Roman" w:eastAsia="Times New Roman" w:hAnsi="Times New Roman" w:cs="Times New Roman"/>
          <w:b/>
          <w:sz w:val="24"/>
          <w:szCs w:val="24"/>
        </w:rPr>
        <w:t>Расчет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2715CA" w:rsidRPr="004F7EC9" w:rsidRDefault="002715CA" w:rsidP="002715CA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43A" w:rsidRPr="004F7EC9" w:rsidRDefault="00D76E62" w:rsidP="002715CA">
      <w:pPr>
        <w:pStyle w:val="a4"/>
        <w:widowControl w:val="0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EC9">
        <w:rPr>
          <w:rFonts w:ascii="Times New Roman" w:eastAsia="MS PGothic" w:hAnsi="Times New Roman" w:cs="Times New Roman"/>
          <w:bCs/>
          <w:kern w:val="24"/>
          <w:sz w:val="24"/>
          <w:szCs w:val="24"/>
        </w:rPr>
        <w:t xml:space="preserve">Нормативные затраты на оказание муниципальных  услуг по реализации дополнительных общеобразовательных общеразвивающих программ определяются в расчете на человеко-час по каждому виду и направленности образовательных программ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</w:t>
      </w:r>
      <w:r w:rsidRPr="004F7EC9">
        <w:rPr>
          <w:rFonts w:ascii="Times New Roman" w:eastAsia="MS PGothic" w:hAnsi="Times New Roman" w:cs="Times New Roman"/>
          <w:bCs/>
          <w:kern w:val="24"/>
          <w:sz w:val="24"/>
          <w:szCs w:val="24"/>
        </w:rPr>
        <w:lastRenderedPageBreak/>
        <w:t>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Федеральным законом № 273-ФЗ особенностей организации и осуществления образовательных услуг (для различных категорий обучающихся).</w:t>
      </w:r>
    </w:p>
    <w:p w:rsidR="00D76E62" w:rsidRPr="004F7EC9" w:rsidRDefault="00D76E62" w:rsidP="002715CA">
      <w:pPr>
        <w:pStyle w:val="a4"/>
        <w:widowControl w:val="0"/>
        <w:numPr>
          <w:ilvl w:val="1"/>
          <w:numId w:val="7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sz w:val="24"/>
          <w:szCs w:val="24"/>
        </w:rPr>
        <w:t>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формуле:</w:t>
      </w:r>
    </w:p>
    <w:p w:rsidR="00D76E62" w:rsidRPr="004F7EC9" w:rsidRDefault="000042DC" w:rsidP="002715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× </m:t>
        </m:r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отр</m:t>
            </m:r>
          </m:sub>
        </m:sSub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 , где</w:t>
      </w:r>
    </w:p>
    <w:p w:rsidR="00D76E62" w:rsidRPr="004F7EC9" w:rsidDel="000A27CD" w:rsidRDefault="000042DC" w:rsidP="002715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D76E62" w:rsidRPr="004F7EC9" w:rsidDel="000A27CD">
        <w:rPr>
          <w:rFonts w:ascii="Times New Roman" w:eastAsia="Times New Roman" w:hAnsi="Times New Roman" w:cs="Times New Roman"/>
          <w:sz w:val="24"/>
          <w:szCs w:val="24"/>
        </w:rPr>
        <w:t xml:space="preserve">– нормативные затраты на оказание i-ой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D76E62" w:rsidRPr="004F7EC9" w:rsidDel="000A27CD">
        <w:rPr>
          <w:rFonts w:ascii="Times New Roman" w:eastAsia="Times New Roman" w:hAnsi="Times New Roman" w:cs="Times New Roman"/>
          <w:sz w:val="24"/>
          <w:szCs w:val="24"/>
        </w:rPr>
        <w:t>услуги по реализации дополнительных общеобразовательных общеразвивающих программ;</w:t>
      </w:r>
    </w:p>
    <w:p w:rsidR="00D76E62" w:rsidRPr="004F7EC9" w:rsidRDefault="000042DC" w:rsidP="002715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баз </m:t>
            </m:r>
          </m:sub>
        </m:sSub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B5543A" w:rsidRPr="004F7EC9" w:rsidRDefault="000042DC" w:rsidP="002715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отр</m:t>
            </m:r>
          </m:sub>
        </m:sSub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программ, включая форму обучения, сетевую форму реализации образовательных программ, 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:rsidR="00D76E62" w:rsidRPr="004F7EC9" w:rsidRDefault="00D76E62" w:rsidP="002715CA">
      <w:pPr>
        <w:pStyle w:val="a4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sz w:val="24"/>
          <w:szCs w:val="24"/>
        </w:rPr>
        <w:t xml:space="preserve">Базовый норматив затрат на оказание i-той муниципальной услуги по реализации дополнительных общеобразовательных общеразвивающих программ рассчитываются по следующей формуле: </w:t>
      </w:r>
    </w:p>
    <w:p w:rsidR="00D76E62" w:rsidRPr="004F7EC9" w:rsidRDefault="000042DC" w:rsidP="002715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непоср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общ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 , где</w:t>
      </w:r>
    </w:p>
    <w:p w:rsidR="00D76E62" w:rsidRPr="004F7EC9" w:rsidRDefault="000042DC" w:rsidP="002715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</m:sSub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– базовый норматив затрат на оказание i-той муниципальной услуги по реализации дополнительных общеобразовательных общеразвивающих программ;</w:t>
      </w:r>
    </w:p>
    <w:p w:rsidR="00D76E62" w:rsidRPr="004F7EC9" w:rsidRDefault="000042DC" w:rsidP="002715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непоср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– 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программ;</w:t>
      </w:r>
    </w:p>
    <w:p w:rsidR="00B5543A" w:rsidRPr="004F7EC9" w:rsidRDefault="000042DC" w:rsidP="002715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общ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– 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программ. </w:t>
      </w:r>
    </w:p>
    <w:p w:rsidR="00D76E62" w:rsidRPr="004F7EC9" w:rsidRDefault="00D76E62" w:rsidP="002715CA">
      <w:pPr>
        <w:pStyle w:val="a4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sz w:val="24"/>
          <w:szCs w:val="24"/>
        </w:rPr>
        <w:t>Базовый норматив затрат, непосредственно связанных с оказанием i-ой муниципальной услуги по реализации дополнительных общеобразовательных общеразвивающих программ, рассчитывается по следующей формуле:</w:t>
      </w:r>
    </w:p>
    <w:p w:rsidR="00D76E62" w:rsidRPr="004F7EC9" w:rsidRDefault="00D76E62" w:rsidP="002715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непоср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ОТ1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ИНЗ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+ 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МЗ</m:t>
            </m:r>
          </m:sup>
        </m:sSubSup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УЧ</m:t>
            </m:r>
          </m:sup>
        </m:sSubSup>
      </m:oMath>
      <w:r w:rsidRPr="004F7EC9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D76E62" w:rsidRPr="004F7EC9" w:rsidRDefault="000042DC" w:rsidP="002715CA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ОТ1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D76E62" w:rsidRPr="004F7EC9">
        <w:rPr>
          <w:rFonts w:ascii="Times New Roman" w:eastAsia="MS PGothic" w:hAnsi="Times New Roman" w:cs="Times New Roman"/>
          <w:bCs/>
          <w:kern w:val="24"/>
          <w:sz w:val="24"/>
          <w:szCs w:val="24"/>
        </w:rPr>
        <w:t>по реализации дополнительных общеобразовательных общеразвивающих программ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, в том числе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рассчитываемый по формуле:</w:t>
      </w:r>
    </w:p>
    <w:p w:rsidR="00D76E62" w:rsidRPr="004F7EC9" w:rsidRDefault="00D76E62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  <w:sz w:val="24"/>
          <w:szCs w:val="24"/>
        </w:rPr>
      </w:pPr>
      <w:r w:rsidRPr="004F7EC9">
        <w:rPr>
          <w:rFonts w:ascii="Times New Roman" w:eastAsia="MS PGothic" w:hAnsi="Times New Roman" w:cs="Times New Roman"/>
          <w:bCs/>
          <w:kern w:val="24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ОТ1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W</m:t>
        </m:r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сред</m:t>
            </m:r>
          </m:sub>
        </m:sSub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 xml:space="preserve"> /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4"/>
            <w:szCs w:val="24"/>
          </w:rPr>
          <m:t xml:space="preserve"> </m:t>
        </m:r>
      </m:oMath>
      <w:r w:rsidRPr="004F7EC9">
        <w:rPr>
          <w:rFonts w:ascii="Times New Roman" w:eastAsia="MS PGothic" w:hAnsi="Times New Roman" w:cs="Times New Roman"/>
          <w:sz w:val="24"/>
          <w:szCs w:val="24"/>
        </w:rPr>
        <w:t>, где</w:t>
      </w:r>
    </w:p>
    <w:p w:rsidR="00D76E62" w:rsidRPr="004F7EC9" w:rsidRDefault="00D76E62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W</m:t>
        </m:r>
      </m:oMath>
      <w:r w:rsidRPr="004F7EC9">
        <w:rPr>
          <w:rFonts w:ascii="Times New Roman" w:eastAsia="Courier New" w:hAnsi="Times New Roman" w:cs="Times New Roman"/>
          <w:sz w:val="24"/>
          <w:szCs w:val="24"/>
        </w:rPr>
        <w:t xml:space="preserve"> – </w:t>
      </w:r>
      <w:r w:rsidRPr="004F7EC9">
        <w:rPr>
          <w:rFonts w:ascii="Times New Roman" w:eastAsia="Times New Roman" w:hAnsi="Times New Roman" w:cs="Times New Roman"/>
          <w:sz w:val="24"/>
          <w:szCs w:val="24"/>
        </w:rPr>
        <w:t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сред</m:t>
            </m:r>
          </m:sub>
        </m:sSub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 xml:space="preserve"> </m:t>
        </m:r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– среднее число учащихся в расчете на 1 педагогического работника на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соответствующий год, значение устанавливается уполномоченным органом;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час</m:t>
            </m:r>
          </m:sub>
        </m:sSub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– средняя норма времени в год на одного ребенка, значение устанавливается уполномоченным органом;</w:t>
      </w:r>
    </w:p>
    <w:p w:rsidR="00D76E62" w:rsidRPr="004F7EC9" w:rsidRDefault="000042DC" w:rsidP="002715CA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ИНЗ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D76E62" w:rsidRPr="004F7EC9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MS PGothic" w:hAnsi="Times New Roman" w:cs="Times New Roman"/>
          <w:bCs/>
          <w:kern w:val="24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ИНЗ</m:t>
            </m:r>
          </m:sup>
        </m:sSubSup>
      </m:oMath>
      <w:r w:rsidR="00D76E62" w:rsidRPr="004F7EC9">
        <w:rPr>
          <w:rFonts w:ascii="Times New Roman" w:eastAsia="MS PGothic" w:hAnsi="Times New Roman" w:cs="Times New Roman"/>
          <w:spacing w:val="-1"/>
          <w:sz w:val="24"/>
          <w:szCs w:val="24"/>
        </w:rPr>
        <w:t xml:space="preserve"> =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КВАЛ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МЕД</m:t>
            </m:r>
          </m:sup>
        </m:sSubSup>
      </m:oMath>
      <w:r w:rsidR="00D76E62" w:rsidRPr="004F7EC9">
        <w:rPr>
          <w:rFonts w:ascii="Times New Roman" w:eastAsia="MS PGothic" w:hAnsi="Times New Roman" w:cs="Times New Roman"/>
          <w:spacing w:val="-1"/>
          <w:sz w:val="24"/>
          <w:szCs w:val="24"/>
        </w:rPr>
        <w:t>, где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КВАЛ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 xml:space="preserve"> </m:t>
        </m:r>
      </m:oMath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D76E62" w:rsidRPr="004F7EC9">
        <w:rPr>
          <w:rFonts w:ascii="Times New Roman" w:eastAsia="MS PGothic" w:hAnsi="Times New Roman" w:cs="Times New Roman"/>
          <w:bCs/>
          <w:kern w:val="24"/>
          <w:sz w:val="24"/>
          <w:szCs w:val="24"/>
        </w:rPr>
        <w:t>которые определяются по формуле: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iбаз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КВАЛ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L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баз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>×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квал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>/</m:t>
          </m:r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  <w:lang w:val="en-US"/>
            </w:rPr>
            <m:t>3/</m:t>
          </m:r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сред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>/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час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 xml:space="preserve">  ,где</m:t>
          </m:r>
        </m:oMath>
      </m:oMathPara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L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баз</m:t>
            </m:r>
          </m:sub>
        </m:sSub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 xml:space="preserve"> </m:t>
        </m:r>
      </m:oMath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продолжительность программы повышения квалификации в днях, значение устанавливается уполномоченным органом;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квал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:rsidR="00D76E62" w:rsidRPr="004F7EC9" w:rsidRDefault="00D76E62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>3</m:t>
        </m:r>
      </m:oMath>
      <w:r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Pr="004F7EC9">
        <w:rPr>
          <w:rFonts w:ascii="Times New Roman" w:eastAsia="Times New Roman" w:hAnsi="Times New Roman" w:cs="Times New Roman"/>
          <w:sz w:val="24"/>
          <w:szCs w:val="24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МЕД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 xml:space="preserve">- </m:t>
        </m:r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затраты на прохождение педагогическими работниками медицинских осмотров</w:t>
      </w:r>
      <w:r w:rsidR="00D76E62" w:rsidRPr="004F7EC9">
        <w:rPr>
          <w:rFonts w:ascii="Times New Roman" w:eastAsia="MS PGothic" w:hAnsi="Times New Roman" w:cs="Times New Roman"/>
          <w:bCs/>
          <w:kern w:val="24"/>
          <w:sz w:val="24"/>
          <w:szCs w:val="24"/>
        </w:rPr>
        <w:t>, которые определяются по формуле: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iбаз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МЕД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  <w:lang w:val="en-US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МЕД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  <w:lang w:val="en-US"/>
            </w:rPr>
            <m:t xml:space="preserve"> /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сред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 xml:space="preserve"> /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час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 xml:space="preserve">  ,где</m:t>
          </m:r>
        </m:oMath>
      </m:oMathPara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МЕД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с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тоимость консультации врачей, медицинских исследований и анализов, значение устанавливается уполномоченным органом.</w:t>
      </w:r>
    </w:p>
    <w:p w:rsidR="00D76E62" w:rsidRPr="004F7EC9" w:rsidRDefault="000042DC" w:rsidP="002715CA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МЗ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– затраты на приобретение материальных запасов и особо ценного движимого имущества, потребляемых (используемых)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iбаз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МЗ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en-US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 xml:space="preserve">/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баз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МЗ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 xml:space="preserve"> /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гр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 xml:space="preserve"> /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 xml:space="preserve"> ,где  </m:t>
          </m:r>
        </m:oMath>
      </m:oMathPara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баз</m:t>
            </m:r>
          </m:sub>
        </m:sSub>
      </m:oMath>
      <w:r w:rsidR="00D76E62" w:rsidRPr="004F7EC9">
        <w:rPr>
          <w:rFonts w:ascii="Times New Roman" w:eastAsia="MS PGothic" w:hAnsi="Times New Roman" w:cs="Times New Roman"/>
          <w:sz w:val="24"/>
          <w:szCs w:val="24"/>
        </w:rPr>
        <w:t xml:space="preserve"> –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стоимость комплекта средств обучения по одной направленности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значение устанавливается уполномоченным органом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PGothic" w:hAnsi="Times New Roman" w:cs="Times New Roman"/>
          <w:bCs/>
          <w:kern w:val="24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МЗ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срок полезного использования комплекта средств обучения в годах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, значение устанавливается уполномоченным органом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гр</m:t>
            </m:r>
          </m:sub>
        </m:sSub>
      </m:oMath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средняя наполняемость группы при реализации части образовательной программы, определяется как среднее от установленных минимальной и максимальной наполняемости группы;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год</m:t>
            </m:r>
          </m:sub>
        </m:sSub>
      </m:oMath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норматив использования оборудования и методических пособий в часах на год,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значение устанавливается уполномоченным органом;</w:t>
      </w:r>
    </w:p>
    <w:p w:rsidR="00D76E62" w:rsidRPr="004F7EC9" w:rsidRDefault="000042DC" w:rsidP="002715CA">
      <w:pPr>
        <w:widowControl w:val="0"/>
        <w:numPr>
          <w:ilvl w:val="0"/>
          <w:numId w:val="5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УЧ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iбаз</m:t>
              </m:r>
            </m:sub>
            <m:sup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УЧ</m:t>
              </m:r>
            </m:sup>
          </m:sSubSup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dPr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*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4"/>
              <w:szCs w:val="24"/>
            </w:rPr>
            <m:t xml:space="preserve"> / 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баз</m:t>
              </m:r>
            </m:sub>
            <m:sup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>/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pacing w:val="-1"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  <w:lang w:val="en-US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  <w:spacing w:val="-1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eastAsia="Times New Roman" w:hAnsi="Cambria Math" w:cs="Times New Roman"/>
              <w:spacing w:val="-1"/>
              <w:sz w:val="24"/>
              <w:szCs w:val="24"/>
            </w:rPr>
            <m:t xml:space="preserve">   ,где</m:t>
          </m:r>
        </m:oMath>
      </m:oMathPara>
    </w:p>
    <w:p w:rsidR="00D76E62" w:rsidRPr="004F7EC9" w:rsidRDefault="000042DC" w:rsidP="002715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УЧ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softHyphen/>
        <w:t>– стоимость одного экземпляра методических пособий, значение устанавливается уполномоченным органом;</w:t>
      </w:r>
    </w:p>
    <w:p w:rsidR="00D76E62" w:rsidRPr="004F7EC9" w:rsidRDefault="000042DC" w:rsidP="002715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УЧ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– количество методических пособий на 1 обучающегося, значение устанавливается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уполномоченным органом;</w:t>
      </w:r>
    </w:p>
    <w:p w:rsidR="00B5543A" w:rsidRPr="004F7EC9" w:rsidRDefault="00D76E62" w:rsidP="002715C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         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баз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УЧ</m:t>
            </m:r>
          </m:sup>
        </m:sSubSup>
      </m:oMath>
      <w:r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срок полезного использования </w:t>
      </w:r>
      <w:r w:rsidRPr="004F7EC9">
        <w:rPr>
          <w:rFonts w:ascii="Times New Roman" w:eastAsia="Times New Roman" w:hAnsi="Times New Roman" w:cs="Times New Roman"/>
          <w:sz w:val="24"/>
          <w:szCs w:val="24"/>
        </w:rPr>
        <w:t>методических пособий</w:t>
      </w:r>
      <w:r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 годах</w:t>
      </w:r>
      <w:r w:rsidRPr="004F7EC9">
        <w:rPr>
          <w:rFonts w:ascii="Times New Roman" w:eastAsia="Times New Roman" w:hAnsi="Times New Roman" w:cs="Times New Roman"/>
          <w:sz w:val="24"/>
          <w:szCs w:val="24"/>
        </w:rPr>
        <w:t>, значение устанавливается уполномоченным органом</w:t>
      </w:r>
      <w:r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D76E62" w:rsidRPr="004F7EC9" w:rsidRDefault="00D76E62" w:rsidP="002715CA">
      <w:pPr>
        <w:pStyle w:val="a4"/>
        <w:widowControl w:val="0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Базовый норматив затрат на общехозяйственные нужды на оказание i-ой муниципальной услуги по реализации дополнительных общеобразовательных общеразвивающих программ рассчитывается по следующей формуле:</w:t>
      </w:r>
    </w:p>
    <w:p w:rsidR="00D76E62" w:rsidRPr="004F7EC9" w:rsidRDefault="000042DC" w:rsidP="002715CA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ind w:left="709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общ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СИ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 xml:space="preserve">+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ОТ2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,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где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СИ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E62" w:rsidRPr="004F7EC9">
        <w:rPr>
          <w:rFonts w:ascii="Times New Roman" w:eastAsia="MS PGothic" w:hAnsi="Times New Roman" w:cs="Times New Roman"/>
          <w:bCs/>
          <w:color w:val="000000"/>
          <w:kern w:val="24"/>
          <w:sz w:val="24"/>
          <w:szCs w:val="24"/>
          <w:lang w:bidi="ru-RU"/>
        </w:rPr>
        <w:t>Б</w:t>
      </w:r>
      <w:r w:rsidR="00D76E62" w:rsidRPr="004F7E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ru-RU"/>
        </w:rPr>
        <w:t xml:space="preserve">азовый норматив затрат на общехозяйственные нужды на 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оказание i-ой муниципальной услуги по реализации дополнительных общеобразовательных общеразвивающих программ, за исключением затрат на оплату труда и начисления на выплаты по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СИ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iбаз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КУ</m:t>
                </m:r>
              </m:sup>
            </m:sSub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iбаз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СНИ</m:t>
                </m:r>
              </m:sup>
            </m:sSub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iбаз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СОЦДИ</m:t>
                </m:r>
              </m:sup>
            </m:sSub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iбаз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УС</m:t>
                </m:r>
              </m:sup>
            </m:sSub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 xml:space="preserve">+ </m:t>
            </m:r>
            <m:sSubSup>
              <m:sSubSupPr>
                <m:ctrlPr>
                  <w:rPr>
                    <w:rFonts w:ascii="Cambria Math" w:eastAsia="Times New Roman" w:hAnsi="Cambria Math" w:cs="Times New Roman"/>
                    <w:i/>
                    <w:spacing w:val="-1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iбаз</m:t>
                </m:r>
              </m:sub>
              <m:sup>
                <m:r>
                  <w:rPr>
                    <w:rFonts w:ascii="Cambria Math" w:eastAsia="Times New Roman" w:hAnsi="Cambria Math" w:cs="Times New Roman"/>
                    <w:spacing w:val="-1"/>
                    <w:sz w:val="24"/>
                    <w:szCs w:val="24"/>
                  </w:rPr>
                  <m:t>ТУ</m:t>
                </m:r>
              </m:sup>
            </m:sSubSup>
          </m:e>
        </m:d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 xml:space="preserve"> / </m:t>
        </m:r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год</m:t>
            </m:r>
          </m:sub>
        </m:sSub>
      </m:oMath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, где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КУ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Затраты на коммунальные услуги, включая затраты на горячее 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СНИ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bCs/>
          <w:kern w:val="24"/>
          <w:position w:val="-6"/>
          <w:sz w:val="24"/>
          <w:szCs w:val="24"/>
          <w:vertAlign w:val="subscript"/>
        </w:rPr>
        <w:t xml:space="preserve"> 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Затраты на содержание объектов недвижимого имущества (в том числе затраты на арендные платежи и уплату налогов),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(кв.м), СанПин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 и т.п.;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СОЦДИ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Затраты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и регламентно-профилактическому ремонту систем пожарной сигнализации и охранно-тревожной сигнализации, техническому обслуживанию и регламентно-профилактическому ремонту систем видеонаблюдения,  техническому обслуживанию и регламентно-профилактическому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УС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bCs/>
          <w:kern w:val="24"/>
          <w:position w:val="-6"/>
          <w:sz w:val="24"/>
          <w:szCs w:val="24"/>
          <w:vertAlign w:val="subscript"/>
        </w:rPr>
        <w:t xml:space="preserve"> 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>–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программами (1С, Консультант и др.)  и подписку на электронные ресурсы на основе тарифов на телефонную связь и тарифов доступа в Интернет (используя данные ЕМИСС);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ТУ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Затраты на приобретение транспортных услуг,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год</m:t>
            </m:r>
          </m:sub>
        </m:sSub>
      </m:oMath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–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ОТ2</m:t>
            </m:r>
          </m:sup>
        </m:sSubSup>
      </m:oMath>
      <w:r w:rsidR="00D76E62" w:rsidRPr="004F7EC9">
        <w:rPr>
          <w:rFonts w:ascii="Times New Roman" w:eastAsia="Times New Roman" w:hAnsi="Times New Roman" w:cs="Times New Roman"/>
          <w:bCs/>
          <w:kern w:val="24"/>
          <w:position w:val="-6"/>
          <w:sz w:val="24"/>
          <w:szCs w:val="24"/>
          <w:vertAlign w:val="subscript"/>
        </w:rPr>
        <w:t xml:space="preserve"> </w:t>
      </w:r>
      <w:r w:rsidR="00D76E62" w:rsidRPr="004F7EC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–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 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</w:t>
      </w:r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а также на обязательное социальное страхование от несчастных случаев на производстве и профессиональных заболеваний, рассчитываемые по формуле:</w:t>
      </w:r>
    </w:p>
    <w:p w:rsidR="00D76E62" w:rsidRPr="004F7EC9" w:rsidRDefault="000042DC" w:rsidP="002715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ОТ2</m:t>
            </m:r>
          </m:sup>
        </m:sSubSup>
        <m:r>
          <w:rPr>
            <w:rFonts w:ascii="Cambria Math" w:eastAsia="Times New Roman" w:hAnsi="Cambria Math" w:cs="Times New Roman"/>
            <w:spacing w:val="-1"/>
            <w:sz w:val="24"/>
            <w:szCs w:val="24"/>
          </w:rPr>
          <m:t>=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pacing w:val="-1"/>
                <w:sz w:val="24"/>
                <w:szCs w:val="24"/>
              </w:rPr>
            </m:ctrlPr>
          </m:sSubSupPr>
          <m:e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iбаз</m:t>
            </m:r>
          </m:sub>
          <m:sup>
            <m:r>
              <w:rPr>
                <w:rFonts w:ascii="Cambria Math" w:eastAsia="Times New Roman" w:hAnsi="Cambria Math" w:cs="Times New Roman"/>
                <w:spacing w:val="-1"/>
                <w:sz w:val="24"/>
                <w:szCs w:val="24"/>
              </w:rPr>
              <m:t>ОТ1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АУП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, где</m:t>
        </m:r>
      </m:oMath>
    </w:p>
    <w:p w:rsidR="00055D58" w:rsidRPr="004F7EC9" w:rsidRDefault="000042DC" w:rsidP="002715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АУП</m:t>
            </m:r>
          </m:sub>
        </m:sSub>
      </m:oMath>
      <w:r w:rsidR="00D76E62" w:rsidRPr="004F7EC9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</w:t>
      </w:r>
    </w:p>
    <w:sectPr w:rsidR="00055D58" w:rsidRPr="004F7EC9" w:rsidSect="004F7E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DC" w:rsidRDefault="000042DC" w:rsidP="003D3002">
      <w:pPr>
        <w:spacing w:after="0" w:line="240" w:lineRule="auto"/>
      </w:pPr>
      <w:r>
        <w:separator/>
      </w:r>
    </w:p>
  </w:endnote>
  <w:endnote w:type="continuationSeparator" w:id="0">
    <w:p w:rsidR="000042DC" w:rsidRDefault="000042DC" w:rsidP="003D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DC" w:rsidRDefault="000042DC" w:rsidP="003D3002">
      <w:pPr>
        <w:spacing w:after="0" w:line="240" w:lineRule="auto"/>
      </w:pPr>
      <w:r>
        <w:separator/>
      </w:r>
    </w:p>
  </w:footnote>
  <w:footnote w:type="continuationSeparator" w:id="0">
    <w:p w:rsidR="000042DC" w:rsidRDefault="000042DC" w:rsidP="003D3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B2C"/>
    <w:multiLevelType w:val="multilevel"/>
    <w:tmpl w:val="DFF434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45A0273"/>
    <w:multiLevelType w:val="multilevel"/>
    <w:tmpl w:val="4484C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6" w15:restartNumberingAfterBreak="0">
    <w:nsid w:val="5F934A63"/>
    <w:multiLevelType w:val="multilevel"/>
    <w:tmpl w:val="FE20CBB4"/>
    <w:lvl w:ilvl="0">
      <w:start w:val="2"/>
      <w:numFmt w:val="decimal"/>
      <w:lvlText w:val="%1."/>
      <w:lvlJc w:val="left"/>
      <w:pPr>
        <w:ind w:left="432" w:hanging="432"/>
      </w:pPr>
      <w:rPr>
        <w:rFonts w:eastAsia="MS PGothic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PGoth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PGothic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PGoth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PGothic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PGothic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PGothic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PGothic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PGothic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2B"/>
    <w:rsid w:val="00004265"/>
    <w:rsid w:val="000042DC"/>
    <w:rsid w:val="00025571"/>
    <w:rsid w:val="00055D58"/>
    <w:rsid w:val="00092538"/>
    <w:rsid w:val="000A4AFB"/>
    <w:rsid w:val="00223075"/>
    <w:rsid w:val="002715CA"/>
    <w:rsid w:val="003D3002"/>
    <w:rsid w:val="0040293E"/>
    <w:rsid w:val="00495834"/>
    <w:rsid w:val="00497743"/>
    <w:rsid w:val="004F7EC9"/>
    <w:rsid w:val="0051172B"/>
    <w:rsid w:val="00752F77"/>
    <w:rsid w:val="007732A7"/>
    <w:rsid w:val="007B1984"/>
    <w:rsid w:val="008651EE"/>
    <w:rsid w:val="0091004C"/>
    <w:rsid w:val="00940075"/>
    <w:rsid w:val="0094773F"/>
    <w:rsid w:val="00AE7A02"/>
    <w:rsid w:val="00B5543A"/>
    <w:rsid w:val="00D110C5"/>
    <w:rsid w:val="00D76E62"/>
    <w:rsid w:val="00E74103"/>
    <w:rsid w:val="00F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879C"/>
  <w15:docId w15:val="{865895CE-239B-4AB9-B6EE-09E3760F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72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17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7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_"/>
    <w:basedOn w:val="a0"/>
    <w:link w:val="11"/>
    <w:rsid w:val="00497743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Заголовок №1_"/>
    <w:basedOn w:val="a0"/>
    <w:link w:val="13"/>
    <w:rsid w:val="004977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497743"/>
    <w:rPr>
      <w:rFonts w:ascii="Times New Roman" w:eastAsia="Times New Roman" w:hAnsi="Times New Roman" w:cs="Times New Roman"/>
      <w:i/>
      <w:iCs/>
    </w:rPr>
  </w:style>
  <w:style w:type="paragraph" w:customStyle="1" w:styleId="11">
    <w:name w:val="Основной текст1"/>
    <w:basedOn w:val="a"/>
    <w:link w:val="a3"/>
    <w:rsid w:val="0049774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3">
    <w:name w:val="Заголовок №1"/>
    <w:basedOn w:val="a"/>
    <w:link w:val="12"/>
    <w:rsid w:val="00497743"/>
    <w:pPr>
      <w:widowControl w:val="0"/>
      <w:spacing w:after="31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497743"/>
    <w:pPr>
      <w:widowControl w:val="0"/>
      <w:spacing w:after="640" w:line="240" w:lineRule="auto"/>
      <w:jc w:val="center"/>
    </w:pPr>
    <w:rPr>
      <w:rFonts w:ascii="Times New Roman" w:eastAsia="Times New Roman" w:hAnsi="Times New Roman" w:cs="Times New Roman"/>
      <w:i/>
      <w:iCs/>
      <w:lang w:eastAsia="en-US"/>
    </w:rPr>
  </w:style>
  <w:style w:type="paragraph" w:styleId="a4">
    <w:name w:val="List Paragraph"/>
    <w:aliases w:val="мой"/>
    <w:basedOn w:val="a"/>
    <w:link w:val="a5"/>
    <w:uiPriority w:val="34"/>
    <w:qFormat/>
    <w:rsid w:val="00497743"/>
    <w:pPr>
      <w:ind w:left="720"/>
      <w:contextualSpacing/>
    </w:pPr>
  </w:style>
  <w:style w:type="character" w:customStyle="1" w:styleId="a5">
    <w:name w:val="Абзац списка Знак"/>
    <w:aliases w:val="мой Знак"/>
    <w:link w:val="a4"/>
    <w:uiPriority w:val="34"/>
    <w:rsid w:val="00D76E62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557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D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300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3D3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300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20EA-978E-4342-A9DE-2578F010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2022-06-27T08:26:00Z</cp:lastPrinted>
  <dcterms:created xsi:type="dcterms:W3CDTF">2022-07-08T06:18:00Z</dcterms:created>
  <dcterms:modified xsi:type="dcterms:W3CDTF">2022-07-08T06:18:00Z</dcterms:modified>
</cp:coreProperties>
</file>